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6C" w:rsidRPr="00BE6174" w:rsidRDefault="00387E6C" w:rsidP="00387E6C">
      <w:pPr>
        <w:spacing w:after="0" w:line="240" w:lineRule="auto"/>
        <w:rPr>
          <w:rFonts w:cstheme="minorHAnsi"/>
          <w:b/>
          <w:bCs/>
          <w:sz w:val="24"/>
          <w:szCs w:val="24"/>
          <w:lang w:val="en-US"/>
        </w:rPr>
      </w:pPr>
      <w:r w:rsidRPr="00BE6174">
        <w:rPr>
          <w:rFonts w:cstheme="minorHAnsi"/>
          <w:b/>
          <w:bCs/>
          <w:sz w:val="24"/>
          <w:szCs w:val="24"/>
          <w:lang w:val="en-US"/>
        </w:rPr>
        <w:t>International Human Rights Law and the Rights of Indigenous Peoples</w:t>
      </w:r>
    </w:p>
    <w:p w:rsidR="00C95F63" w:rsidRPr="00BE6174" w:rsidRDefault="00387E6C" w:rsidP="00C95F63">
      <w:pPr>
        <w:spacing w:after="0" w:line="240" w:lineRule="auto"/>
        <w:rPr>
          <w:rFonts w:cstheme="minorHAnsi"/>
          <w:b/>
          <w:bCs/>
          <w:sz w:val="24"/>
          <w:szCs w:val="24"/>
          <w:lang w:val="en-US"/>
        </w:rPr>
      </w:pPr>
      <w:r w:rsidRPr="00BE6174">
        <w:rPr>
          <w:rFonts w:cstheme="minorHAnsi"/>
          <w:b/>
          <w:bCs/>
          <w:sz w:val="24"/>
          <w:szCs w:val="24"/>
          <w:lang w:val="en-US"/>
        </w:rPr>
        <w:t>Inst</w:t>
      </w:r>
      <w:r w:rsidR="00A949A5" w:rsidRPr="00BE6174">
        <w:rPr>
          <w:rFonts w:cstheme="minorHAnsi"/>
          <w:b/>
          <w:bCs/>
          <w:sz w:val="24"/>
          <w:szCs w:val="24"/>
          <w:lang w:val="en-US"/>
        </w:rPr>
        <w:t>ructor: Rachael Lorna Johnstone</w:t>
      </w:r>
      <w:r w:rsidRPr="00BE6174">
        <w:rPr>
          <w:rFonts w:cstheme="minorHAnsi"/>
          <w:b/>
          <w:bCs/>
          <w:sz w:val="24"/>
          <w:szCs w:val="24"/>
          <w:lang w:val="en-US"/>
        </w:rPr>
        <w:t xml:space="preserve"> </w:t>
      </w:r>
      <w:r w:rsidR="00C95F63" w:rsidRPr="00BE6174">
        <w:rPr>
          <w:rFonts w:cstheme="minorHAnsi"/>
          <w:b/>
          <w:bCs/>
          <w:sz w:val="24"/>
          <w:szCs w:val="24"/>
          <w:lang w:val="en-US"/>
        </w:rPr>
        <w:t xml:space="preserve">[ralo@uni.gl] </w:t>
      </w:r>
    </w:p>
    <w:p w:rsidR="00253648" w:rsidRPr="00BE6174" w:rsidRDefault="00387E6C" w:rsidP="00387E6C">
      <w:pPr>
        <w:spacing w:after="0" w:line="240" w:lineRule="auto"/>
        <w:rPr>
          <w:rFonts w:cstheme="minorHAnsi"/>
          <w:sz w:val="24"/>
          <w:szCs w:val="24"/>
          <w:lang w:val="en-US"/>
        </w:rPr>
      </w:pPr>
      <w:r w:rsidRPr="00BE6174">
        <w:rPr>
          <w:rFonts w:cstheme="minorHAnsi"/>
          <w:sz w:val="24"/>
          <w:szCs w:val="24"/>
          <w:lang w:val="en-US"/>
        </w:rPr>
        <w:t xml:space="preserve">BA: 5 ECTS </w:t>
      </w:r>
    </w:p>
    <w:p w:rsidR="00387E6C" w:rsidRPr="00BE6174" w:rsidRDefault="00253648" w:rsidP="00387E6C">
      <w:pPr>
        <w:spacing w:after="0" w:line="240" w:lineRule="auto"/>
        <w:rPr>
          <w:rFonts w:cstheme="minorHAnsi"/>
          <w:sz w:val="24"/>
          <w:szCs w:val="24"/>
          <w:lang w:val="en-US"/>
        </w:rPr>
      </w:pPr>
      <w:r w:rsidRPr="00BE6174">
        <w:rPr>
          <w:rFonts w:cstheme="minorHAnsi"/>
          <w:sz w:val="24"/>
          <w:szCs w:val="24"/>
          <w:lang w:val="en-US"/>
        </w:rPr>
        <w:t>MA: 10 ECTS</w:t>
      </w:r>
      <w:r w:rsidR="00387E6C" w:rsidRPr="00BE6174">
        <w:rPr>
          <w:rFonts w:cstheme="minorHAnsi"/>
          <w:sz w:val="24"/>
          <w:szCs w:val="24"/>
          <w:lang w:val="en-US"/>
        </w:rPr>
        <w:t xml:space="preserve"> </w:t>
      </w:r>
    </w:p>
    <w:p w:rsidR="00387E6C" w:rsidRPr="00BE6174" w:rsidRDefault="00387E6C" w:rsidP="00387E6C">
      <w:pPr>
        <w:spacing w:after="0" w:line="240" w:lineRule="auto"/>
        <w:rPr>
          <w:rFonts w:cstheme="minorHAnsi"/>
          <w:b/>
          <w:bCs/>
          <w:sz w:val="24"/>
          <w:szCs w:val="24"/>
          <w:lang w:val="en-US"/>
        </w:rPr>
      </w:pPr>
    </w:p>
    <w:p w:rsidR="00387E6C" w:rsidRPr="00BE6174" w:rsidRDefault="00387E6C" w:rsidP="00387E6C">
      <w:pPr>
        <w:spacing w:after="0" w:line="240" w:lineRule="auto"/>
        <w:rPr>
          <w:rFonts w:cstheme="minorHAnsi"/>
          <w:b/>
          <w:bCs/>
          <w:sz w:val="24"/>
          <w:szCs w:val="24"/>
          <w:lang w:val="en-US"/>
        </w:rPr>
      </w:pPr>
      <w:r w:rsidRPr="00BE6174">
        <w:rPr>
          <w:rFonts w:cstheme="minorHAnsi"/>
          <w:b/>
          <w:bCs/>
          <w:sz w:val="24"/>
          <w:szCs w:val="24"/>
          <w:lang w:val="en-US"/>
        </w:rPr>
        <w:t>Course Description:</w:t>
      </w:r>
    </w:p>
    <w:p w:rsidR="00387E6C" w:rsidRPr="00BE6174" w:rsidRDefault="00387E6C" w:rsidP="00DD0BB8">
      <w:pPr>
        <w:spacing w:after="0" w:line="240" w:lineRule="auto"/>
        <w:rPr>
          <w:rFonts w:cstheme="minorHAnsi"/>
          <w:sz w:val="24"/>
          <w:szCs w:val="24"/>
          <w:lang w:val="en-US"/>
        </w:rPr>
      </w:pPr>
      <w:r w:rsidRPr="00BE6174">
        <w:rPr>
          <w:rFonts w:cstheme="minorHAnsi"/>
          <w:sz w:val="24"/>
          <w:szCs w:val="24"/>
          <w:lang w:val="en-US"/>
        </w:rPr>
        <w:t>This course introduces students to the international law on human rights and the rights of indigenous peoples. Students learn about the processes for protection of human rights</w:t>
      </w:r>
      <w:r w:rsidR="00DD0BB8" w:rsidRPr="00BE6174">
        <w:rPr>
          <w:rFonts w:cstheme="minorHAnsi"/>
          <w:sz w:val="24"/>
          <w:szCs w:val="24"/>
          <w:lang w:val="en-US"/>
        </w:rPr>
        <w:t xml:space="preserve"> and indigenous rights</w:t>
      </w:r>
      <w:r w:rsidRPr="00BE6174">
        <w:rPr>
          <w:rFonts w:cstheme="minorHAnsi"/>
          <w:sz w:val="24"/>
          <w:szCs w:val="24"/>
          <w:lang w:val="en-US"/>
        </w:rPr>
        <w:t xml:space="preserve"> as well as the substantive norms that States have agreed. The following topics are covered: the evolution of human rights in the Post WWII era; the core international human rights treaties; the UN human rights treaty monitoring systems; regional systems for human rights protection</w:t>
      </w:r>
      <w:r w:rsidR="00DD0BB8" w:rsidRPr="00BE6174">
        <w:rPr>
          <w:rFonts w:cstheme="minorHAnsi"/>
          <w:sz w:val="24"/>
          <w:szCs w:val="24"/>
          <w:lang w:val="en-US"/>
        </w:rPr>
        <w:t xml:space="preserve"> with emphasis on the European Convention on Human Rights; the non-discrimination principle in international human rights law</w:t>
      </w:r>
      <w:r w:rsidRPr="00BE6174">
        <w:rPr>
          <w:rFonts w:cstheme="minorHAnsi"/>
          <w:sz w:val="24"/>
          <w:szCs w:val="24"/>
          <w:lang w:val="en-US"/>
        </w:rPr>
        <w:t xml:space="preserve">; the </w:t>
      </w:r>
      <w:r w:rsidR="00DD0BB8" w:rsidRPr="00BE6174">
        <w:rPr>
          <w:rFonts w:cstheme="minorHAnsi"/>
          <w:sz w:val="24"/>
          <w:szCs w:val="24"/>
          <w:lang w:val="en-US"/>
        </w:rPr>
        <w:t xml:space="preserve">justifications for the collective rights of </w:t>
      </w:r>
      <w:r w:rsidRPr="00BE6174">
        <w:rPr>
          <w:rFonts w:cstheme="minorHAnsi"/>
          <w:sz w:val="24"/>
          <w:szCs w:val="24"/>
          <w:lang w:val="en-US"/>
        </w:rPr>
        <w:t xml:space="preserve">indigenous peoples; </w:t>
      </w:r>
      <w:r w:rsidR="00DD0BB8" w:rsidRPr="00BE6174">
        <w:rPr>
          <w:rFonts w:cstheme="minorHAnsi"/>
          <w:sz w:val="24"/>
          <w:szCs w:val="24"/>
          <w:lang w:val="en-US"/>
        </w:rPr>
        <w:t xml:space="preserve">the core substantive rights of indigenous peoples; </w:t>
      </w:r>
      <w:r w:rsidRPr="00BE6174">
        <w:rPr>
          <w:rFonts w:cstheme="minorHAnsi"/>
          <w:sz w:val="24"/>
          <w:szCs w:val="24"/>
          <w:lang w:val="en-US"/>
        </w:rPr>
        <w:t xml:space="preserve">state responsibility for human rights violations; and remedies for alleged violations. </w:t>
      </w:r>
    </w:p>
    <w:p w:rsidR="00387E6C" w:rsidRPr="00BE6174" w:rsidRDefault="00387E6C" w:rsidP="00387E6C">
      <w:pPr>
        <w:spacing w:after="0" w:line="240" w:lineRule="auto"/>
        <w:rPr>
          <w:rFonts w:cstheme="minorHAnsi"/>
          <w:b/>
          <w:bCs/>
          <w:sz w:val="24"/>
          <w:szCs w:val="24"/>
          <w:lang w:val="en-US"/>
        </w:rPr>
      </w:pPr>
    </w:p>
    <w:p w:rsidR="00387E6C" w:rsidRPr="00BE6174" w:rsidRDefault="00387E6C" w:rsidP="00387E6C">
      <w:pPr>
        <w:spacing w:after="0" w:line="240" w:lineRule="auto"/>
        <w:rPr>
          <w:rFonts w:cstheme="minorHAnsi"/>
          <w:b/>
          <w:bCs/>
          <w:sz w:val="24"/>
          <w:szCs w:val="24"/>
          <w:lang w:val="en-US"/>
        </w:rPr>
      </w:pPr>
      <w:r w:rsidRPr="00BE6174">
        <w:rPr>
          <w:rFonts w:cstheme="minorHAnsi"/>
          <w:b/>
          <w:bCs/>
          <w:sz w:val="24"/>
          <w:szCs w:val="24"/>
          <w:lang w:val="en-US"/>
        </w:rPr>
        <w:t xml:space="preserve">Learning Outcomes: </w:t>
      </w:r>
    </w:p>
    <w:p w:rsidR="00387E6C" w:rsidRPr="00BE6174" w:rsidRDefault="00387E6C" w:rsidP="00387E6C">
      <w:pPr>
        <w:spacing w:after="0" w:line="240" w:lineRule="auto"/>
        <w:rPr>
          <w:rFonts w:cstheme="minorHAnsi"/>
          <w:sz w:val="24"/>
          <w:szCs w:val="24"/>
          <w:lang w:val="en-US"/>
        </w:rPr>
      </w:pPr>
      <w:r w:rsidRPr="00BE6174">
        <w:rPr>
          <w:rFonts w:cstheme="minorHAnsi"/>
          <w:sz w:val="24"/>
          <w:szCs w:val="24"/>
          <w:lang w:val="en-US"/>
        </w:rPr>
        <w:t>On completion of the course the student:</w:t>
      </w:r>
    </w:p>
    <w:p w:rsidR="00387E6C" w:rsidRPr="00BE6174" w:rsidRDefault="00387E6C" w:rsidP="00387E6C">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can describe the institutional human rights framework of the United Nations within the context of general international law;</w:t>
      </w:r>
    </w:p>
    <w:p w:rsidR="00A22886" w:rsidRPr="00BE6174" w:rsidRDefault="00A22886" w:rsidP="00387E6C">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 xml:space="preserve">can describe the United Nations mechanisms for monitoring and protecting the rights of indigenous peoples; </w:t>
      </w:r>
    </w:p>
    <w:p w:rsidR="00387E6C" w:rsidRPr="00BE6174" w:rsidRDefault="00387E6C" w:rsidP="00A22886">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can explain the main principles of the major international human rights tr</w:t>
      </w:r>
      <w:r w:rsidR="00A22886" w:rsidRPr="00BE6174">
        <w:rPr>
          <w:rFonts w:cstheme="minorHAnsi"/>
          <w:sz w:val="24"/>
          <w:szCs w:val="24"/>
          <w:lang w:val="en-US"/>
        </w:rPr>
        <w:t xml:space="preserve">eaties of the United Nations, </w:t>
      </w:r>
      <w:r w:rsidRPr="00BE6174">
        <w:rPr>
          <w:rFonts w:cstheme="minorHAnsi"/>
          <w:sz w:val="24"/>
          <w:szCs w:val="24"/>
          <w:lang w:val="en-US"/>
        </w:rPr>
        <w:t xml:space="preserve">the European Convention on Human </w:t>
      </w:r>
      <w:r w:rsidR="00A22886" w:rsidRPr="00BE6174">
        <w:rPr>
          <w:rFonts w:cstheme="minorHAnsi"/>
          <w:sz w:val="24"/>
          <w:szCs w:val="24"/>
          <w:lang w:val="en-US"/>
        </w:rPr>
        <w:t xml:space="preserve">Rights and Fundamental Freedoms, the ILO Convention 169 and the UN Declaration on the Rights of Indigenous Peoples; </w:t>
      </w:r>
    </w:p>
    <w:p w:rsidR="00A22886" w:rsidRPr="00BE6174" w:rsidRDefault="00A22886" w:rsidP="00387E6C">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Can explain and critique the defi</w:t>
      </w:r>
      <w:r w:rsidR="00BE6174">
        <w:rPr>
          <w:rFonts w:cstheme="minorHAnsi"/>
          <w:sz w:val="24"/>
          <w:szCs w:val="24"/>
          <w:lang w:val="en-US"/>
        </w:rPr>
        <w:t>ni</w:t>
      </w:r>
      <w:r w:rsidRPr="00BE6174">
        <w:rPr>
          <w:rFonts w:cstheme="minorHAnsi"/>
          <w:sz w:val="24"/>
          <w:szCs w:val="24"/>
          <w:lang w:val="en-US"/>
        </w:rPr>
        <w:t xml:space="preserve">tion(s) of indigenous peoples in international law; </w:t>
      </w:r>
    </w:p>
    <w:p w:rsidR="00A22886" w:rsidRPr="00BE6174" w:rsidRDefault="00A22886" w:rsidP="00387E6C">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 xml:space="preserve">Can explain and critique the historic, philosophical and legal bases for indigenous rights; </w:t>
      </w:r>
    </w:p>
    <w:p w:rsidR="00387E6C" w:rsidRPr="00BE6174" w:rsidRDefault="00387E6C" w:rsidP="00387E6C">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Can identify and apply norms of international human rights law and the rights of indigenous peoples;</w:t>
      </w:r>
    </w:p>
    <w:p w:rsidR="003A02C8" w:rsidRPr="00BE6174" w:rsidRDefault="003A02C8" w:rsidP="003A02C8">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 xml:space="preserve">can explain the principle of non-discrimination and how it is applied to protect and promote human rights; </w:t>
      </w:r>
    </w:p>
    <w:p w:rsidR="00387E6C" w:rsidRPr="00BE6174" w:rsidRDefault="00387E6C" w:rsidP="00387E6C">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can interpret state responsibility for human rights and the rights of indigenous peoples according to the tertiary framework of obligations to respect, to protect and to fulfil human rights.</w:t>
      </w:r>
    </w:p>
    <w:p w:rsidR="00387E6C" w:rsidRPr="00BE6174" w:rsidRDefault="00387E6C" w:rsidP="00387E6C">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can independently find and interpret primary and secondary sources on human rights law and the rights of indigenous peoples;</w:t>
      </w:r>
    </w:p>
    <w:p w:rsidR="00387E6C" w:rsidRPr="00BE6174" w:rsidRDefault="00387E6C" w:rsidP="00387E6C">
      <w:pPr>
        <w:pStyle w:val="ListParagraph"/>
        <w:numPr>
          <w:ilvl w:val="0"/>
          <w:numId w:val="1"/>
        </w:numPr>
        <w:spacing w:after="0" w:line="240" w:lineRule="auto"/>
        <w:rPr>
          <w:rFonts w:cstheme="minorHAnsi"/>
          <w:sz w:val="24"/>
          <w:szCs w:val="24"/>
          <w:lang w:val="en-US"/>
        </w:rPr>
      </w:pPr>
      <w:r w:rsidRPr="00BE6174">
        <w:rPr>
          <w:rFonts w:cstheme="minorHAnsi"/>
          <w:sz w:val="24"/>
          <w:szCs w:val="24"/>
          <w:lang w:val="en-US"/>
        </w:rPr>
        <w:t xml:space="preserve">can able to apply critical and philosophical methods in analyzing human rights law and the rights of indigenous peoples. </w:t>
      </w:r>
    </w:p>
    <w:p w:rsidR="00387E6C" w:rsidRPr="00BE6174" w:rsidRDefault="00387E6C" w:rsidP="00387E6C">
      <w:pPr>
        <w:spacing w:after="0" w:line="240" w:lineRule="auto"/>
        <w:rPr>
          <w:rFonts w:cstheme="minorHAnsi"/>
          <w:sz w:val="24"/>
          <w:szCs w:val="24"/>
          <w:lang w:val="en-US"/>
        </w:rPr>
      </w:pPr>
    </w:p>
    <w:p w:rsidR="00387E6C" w:rsidRPr="00BE6174" w:rsidRDefault="00387E6C" w:rsidP="00387E6C">
      <w:pPr>
        <w:spacing w:after="0" w:line="240" w:lineRule="auto"/>
        <w:rPr>
          <w:rFonts w:cstheme="minorHAnsi"/>
          <w:b/>
          <w:bCs/>
          <w:sz w:val="24"/>
          <w:szCs w:val="24"/>
          <w:lang w:val="en-US"/>
        </w:rPr>
      </w:pPr>
      <w:r w:rsidRPr="00BE6174">
        <w:rPr>
          <w:rFonts w:cstheme="minorHAnsi"/>
          <w:b/>
          <w:bCs/>
          <w:sz w:val="24"/>
          <w:szCs w:val="24"/>
          <w:lang w:val="en-US"/>
        </w:rPr>
        <w:t>Assessment:</w:t>
      </w:r>
    </w:p>
    <w:p w:rsidR="00387E6C" w:rsidRPr="00BE6174" w:rsidRDefault="00387E6C" w:rsidP="00DD0BB8">
      <w:pPr>
        <w:spacing w:after="0" w:line="240" w:lineRule="auto"/>
        <w:rPr>
          <w:rFonts w:cstheme="minorHAnsi"/>
          <w:sz w:val="24"/>
          <w:szCs w:val="24"/>
          <w:lang w:val="en-US"/>
        </w:rPr>
      </w:pPr>
      <w:r w:rsidRPr="00BE6174">
        <w:rPr>
          <w:rFonts w:cstheme="minorHAnsi"/>
          <w:sz w:val="24"/>
          <w:szCs w:val="24"/>
          <w:lang w:val="en-US"/>
        </w:rPr>
        <w:t>Exam (</w:t>
      </w:r>
      <w:r w:rsidR="00DD0BB8" w:rsidRPr="00BE6174">
        <w:rPr>
          <w:rFonts w:cstheme="minorHAnsi"/>
          <w:sz w:val="24"/>
          <w:szCs w:val="24"/>
          <w:lang w:val="en-US"/>
        </w:rPr>
        <w:t>5 ECTS)</w:t>
      </w:r>
      <w:r w:rsidRPr="00BE6174">
        <w:rPr>
          <w:rFonts w:cstheme="minorHAnsi"/>
          <w:sz w:val="24"/>
          <w:szCs w:val="24"/>
          <w:lang w:val="en-US"/>
        </w:rPr>
        <w:t xml:space="preserve"> MA students</w:t>
      </w:r>
      <w:r w:rsidR="00DD0BB8" w:rsidRPr="00BE6174">
        <w:rPr>
          <w:rFonts w:cstheme="minorHAnsi"/>
          <w:sz w:val="24"/>
          <w:szCs w:val="24"/>
          <w:lang w:val="en-US"/>
        </w:rPr>
        <w:t xml:space="preserve"> only</w:t>
      </w:r>
    </w:p>
    <w:p w:rsidR="00387E6C" w:rsidRPr="00BE6174" w:rsidRDefault="00DD0BB8" w:rsidP="00DD0BB8">
      <w:pPr>
        <w:spacing w:after="0" w:line="240" w:lineRule="auto"/>
        <w:rPr>
          <w:rFonts w:cstheme="minorHAnsi"/>
          <w:sz w:val="24"/>
          <w:szCs w:val="24"/>
          <w:lang w:val="en-US"/>
        </w:rPr>
      </w:pPr>
      <w:r w:rsidRPr="00BE6174">
        <w:rPr>
          <w:rFonts w:cstheme="minorHAnsi"/>
          <w:sz w:val="24"/>
          <w:szCs w:val="24"/>
          <w:lang w:val="en-US"/>
        </w:rPr>
        <w:t>Take-home paper (5</w:t>
      </w:r>
      <w:r w:rsidR="00387E6C" w:rsidRPr="00BE6174">
        <w:rPr>
          <w:rFonts w:cstheme="minorHAnsi"/>
          <w:sz w:val="24"/>
          <w:szCs w:val="24"/>
          <w:lang w:val="en-US"/>
        </w:rPr>
        <w:t xml:space="preserve"> ECTS) </w:t>
      </w:r>
      <w:r w:rsidRPr="00BE6174">
        <w:rPr>
          <w:rFonts w:cstheme="minorHAnsi"/>
          <w:sz w:val="24"/>
          <w:szCs w:val="24"/>
          <w:lang w:val="en-US"/>
        </w:rPr>
        <w:t xml:space="preserve">BA and </w:t>
      </w:r>
      <w:r w:rsidR="00387E6C" w:rsidRPr="00BE6174">
        <w:rPr>
          <w:rFonts w:cstheme="minorHAnsi"/>
          <w:sz w:val="24"/>
          <w:szCs w:val="24"/>
          <w:lang w:val="en-US"/>
        </w:rPr>
        <w:t xml:space="preserve">MA students </w:t>
      </w:r>
    </w:p>
    <w:p w:rsidR="00EA66B0" w:rsidRPr="00BE6174" w:rsidRDefault="00EA66B0" w:rsidP="00DD0BB8">
      <w:pPr>
        <w:spacing w:after="0" w:line="240" w:lineRule="auto"/>
        <w:rPr>
          <w:rFonts w:cstheme="minorHAnsi"/>
          <w:sz w:val="24"/>
          <w:szCs w:val="24"/>
          <w:lang w:val="en-US"/>
        </w:rPr>
      </w:pPr>
    </w:p>
    <w:p w:rsidR="00983824" w:rsidRDefault="00983824" w:rsidP="00553594">
      <w:pPr>
        <w:spacing w:after="0" w:line="240" w:lineRule="auto"/>
        <w:rPr>
          <w:rFonts w:cstheme="minorHAnsi"/>
          <w:b/>
          <w:bCs/>
          <w:sz w:val="24"/>
          <w:szCs w:val="24"/>
          <w:lang w:val="en-US"/>
        </w:rPr>
      </w:pPr>
    </w:p>
    <w:p w:rsidR="00553594" w:rsidRPr="00BE6174" w:rsidRDefault="00553594" w:rsidP="00553594">
      <w:pPr>
        <w:spacing w:after="0" w:line="240" w:lineRule="auto"/>
        <w:rPr>
          <w:rFonts w:cstheme="minorHAnsi"/>
          <w:b/>
          <w:bCs/>
          <w:sz w:val="24"/>
          <w:szCs w:val="24"/>
          <w:lang w:val="en-US"/>
        </w:rPr>
      </w:pPr>
      <w:r w:rsidRPr="00BE6174">
        <w:rPr>
          <w:rFonts w:cstheme="minorHAnsi"/>
          <w:b/>
          <w:bCs/>
          <w:sz w:val="24"/>
          <w:szCs w:val="24"/>
          <w:lang w:val="en-US"/>
        </w:rPr>
        <w:lastRenderedPageBreak/>
        <w:t>Essential Reading:</w:t>
      </w:r>
    </w:p>
    <w:p w:rsidR="00553594" w:rsidRPr="00BE6174" w:rsidRDefault="00553594" w:rsidP="00553594">
      <w:pPr>
        <w:spacing w:after="0" w:line="240" w:lineRule="auto"/>
        <w:rPr>
          <w:rFonts w:cstheme="minorHAnsi"/>
          <w:sz w:val="24"/>
          <w:szCs w:val="24"/>
          <w:lang w:val="en-US"/>
        </w:rPr>
      </w:pPr>
      <w:r w:rsidRPr="00BE6174">
        <w:rPr>
          <w:rFonts w:cstheme="minorHAnsi"/>
          <w:sz w:val="24"/>
          <w:szCs w:val="24"/>
          <w:lang w:val="en-US"/>
        </w:rPr>
        <w:t xml:space="preserve">Students should purchase </w:t>
      </w:r>
      <w:proofErr w:type="spellStart"/>
      <w:r w:rsidRPr="00BE6174">
        <w:rPr>
          <w:rFonts w:cstheme="minorHAnsi"/>
          <w:sz w:val="24"/>
          <w:szCs w:val="24"/>
          <w:lang w:val="en-US"/>
        </w:rPr>
        <w:t>Rhona</w:t>
      </w:r>
      <w:proofErr w:type="spellEnd"/>
      <w:r w:rsidRPr="00BE6174">
        <w:rPr>
          <w:rFonts w:cstheme="minorHAnsi"/>
          <w:sz w:val="24"/>
          <w:szCs w:val="24"/>
          <w:lang w:val="en-US"/>
        </w:rPr>
        <w:t xml:space="preserve"> K. M. Smith, </w:t>
      </w:r>
      <w:hyperlink r:id="rId5" w:history="1">
        <w:r w:rsidRPr="00BE6174">
          <w:rPr>
            <w:rStyle w:val="Hyperlink"/>
            <w:rFonts w:cstheme="minorHAnsi"/>
            <w:i/>
            <w:iCs/>
            <w:sz w:val="24"/>
            <w:szCs w:val="24"/>
            <w:lang w:val="en-US"/>
          </w:rPr>
          <w:t>Textbook on International Human Rights</w:t>
        </w:r>
      </w:hyperlink>
      <w:r w:rsidRPr="00BE6174">
        <w:rPr>
          <w:rFonts w:cstheme="minorHAnsi"/>
          <w:sz w:val="24"/>
          <w:szCs w:val="24"/>
          <w:lang w:val="en-US"/>
        </w:rPr>
        <w:t>, 7th ed., 2016. Students may also use older editions but please check with colleagues to ensure you have the correct page numbers. (The chapter numbers are the same as the later edition.)</w:t>
      </w:r>
    </w:p>
    <w:p w:rsidR="00553594" w:rsidRPr="00BE6174" w:rsidRDefault="00553594" w:rsidP="00553594">
      <w:pPr>
        <w:spacing w:after="0" w:line="240" w:lineRule="auto"/>
        <w:rPr>
          <w:rFonts w:cstheme="minorHAnsi"/>
          <w:sz w:val="24"/>
          <w:szCs w:val="24"/>
          <w:lang w:val="en-US"/>
        </w:rPr>
      </w:pPr>
    </w:p>
    <w:p w:rsidR="00553594" w:rsidRPr="00BE6174" w:rsidRDefault="00553594" w:rsidP="00553594">
      <w:p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Students should study carefully the documents listed for each class </w:t>
      </w:r>
      <w:r w:rsidRPr="00BE6174">
        <w:rPr>
          <w:rFonts w:cstheme="minorHAnsi"/>
          <w:i/>
          <w:iCs/>
          <w:color w:val="000000" w:themeColor="text1"/>
          <w:sz w:val="24"/>
          <w:szCs w:val="24"/>
          <w:lang w:val="en-US"/>
        </w:rPr>
        <w:t>prior to each session</w:t>
      </w:r>
      <w:r w:rsidRPr="00BE6174">
        <w:rPr>
          <w:rFonts w:cstheme="minorHAnsi"/>
          <w:color w:val="000000" w:themeColor="text1"/>
          <w:sz w:val="24"/>
          <w:szCs w:val="24"/>
          <w:lang w:val="en-US"/>
        </w:rPr>
        <w:t xml:space="preserve">, in particular, the </w:t>
      </w:r>
      <w:hyperlink r:id="rId6" w:history="1">
        <w:r w:rsidRPr="00BE6174">
          <w:rPr>
            <w:rStyle w:val="Hyperlink"/>
            <w:rFonts w:cstheme="minorHAnsi"/>
            <w:sz w:val="24"/>
            <w:szCs w:val="24"/>
            <w:lang w:val="en-US"/>
          </w:rPr>
          <w:t>core UN human rights treaties</w:t>
        </w:r>
      </w:hyperlink>
      <w:r w:rsidRPr="00BE6174">
        <w:rPr>
          <w:rFonts w:cstheme="minorHAnsi"/>
          <w:color w:val="000000" w:themeColor="text1"/>
          <w:sz w:val="24"/>
          <w:szCs w:val="24"/>
          <w:lang w:val="en-US"/>
        </w:rPr>
        <w:t xml:space="preserve">, the </w:t>
      </w:r>
      <w:hyperlink r:id="rId7" w:history="1">
        <w:r w:rsidRPr="00BE6174">
          <w:rPr>
            <w:rStyle w:val="Hyperlink"/>
            <w:rFonts w:cstheme="minorHAnsi"/>
            <w:sz w:val="24"/>
            <w:szCs w:val="24"/>
            <w:lang w:val="en-US"/>
          </w:rPr>
          <w:t>Indigenous and Tribal Peoples Convention</w:t>
        </w:r>
      </w:hyperlink>
      <w:r w:rsidRPr="00BE6174">
        <w:rPr>
          <w:rFonts w:cstheme="minorHAnsi"/>
          <w:color w:val="000000" w:themeColor="text1"/>
          <w:sz w:val="24"/>
          <w:szCs w:val="24"/>
          <w:lang w:val="en-US"/>
        </w:rPr>
        <w:t xml:space="preserve">, 1989 (No. 169) of the International </w:t>
      </w:r>
      <w:proofErr w:type="spellStart"/>
      <w:r w:rsidRPr="00BE6174">
        <w:rPr>
          <w:rFonts w:cstheme="minorHAnsi"/>
          <w:color w:val="000000" w:themeColor="text1"/>
          <w:sz w:val="24"/>
          <w:szCs w:val="24"/>
          <w:lang w:val="en-US"/>
        </w:rPr>
        <w:t>Labour</w:t>
      </w:r>
      <w:proofErr w:type="spellEnd"/>
      <w:r w:rsidRPr="00BE6174">
        <w:rPr>
          <w:rFonts w:cstheme="minorHAnsi"/>
          <w:color w:val="000000" w:themeColor="text1"/>
          <w:sz w:val="24"/>
          <w:szCs w:val="24"/>
          <w:lang w:val="en-US"/>
        </w:rPr>
        <w:t xml:space="preserve"> </w:t>
      </w:r>
      <w:proofErr w:type="spellStart"/>
      <w:r w:rsidRPr="00BE6174">
        <w:rPr>
          <w:rFonts w:cstheme="minorHAnsi"/>
          <w:color w:val="000000" w:themeColor="text1"/>
          <w:sz w:val="24"/>
          <w:szCs w:val="24"/>
          <w:lang w:val="en-US"/>
        </w:rPr>
        <w:t>Organisation</w:t>
      </w:r>
      <w:proofErr w:type="spellEnd"/>
      <w:r w:rsidRPr="00BE6174">
        <w:rPr>
          <w:rFonts w:cstheme="minorHAnsi"/>
          <w:color w:val="000000" w:themeColor="text1"/>
          <w:sz w:val="24"/>
          <w:szCs w:val="24"/>
          <w:lang w:val="en-US"/>
        </w:rPr>
        <w:t xml:space="preserve"> and the </w:t>
      </w:r>
      <w:hyperlink r:id="rId8" w:history="1">
        <w:r w:rsidRPr="00BE6174">
          <w:rPr>
            <w:rStyle w:val="Hyperlink"/>
            <w:rFonts w:cstheme="minorHAnsi"/>
            <w:sz w:val="24"/>
            <w:szCs w:val="24"/>
            <w:lang w:val="en-US"/>
          </w:rPr>
          <w:t>UN Declaration on the Rights of Indigenous Peoples</w:t>
        </w:r>
      </w:hyperlink>
      <w:r w:rsidRPr="00BE6174">
        <w:rPr>
          <w:rFonts w:cstheme="minorHAnsi"/>
          <w:color w:val="000000" w:themeColor="text1"/>
          <w:sz w:val="24"/>
          <w:szCs w:val="24"/>
          <w:lang w:val="en-US"/>
        </w:rPr>
        <w:t>, 2007.</w:t>
      </w:r>
    </w:p>
    <w:p w:rsidR="00553594" w:rsidRPr="00BE6174" w:rsidRDefault="00553594" w:rsidP="00553594">
      <w:pPr>
        <w:snapToGrid w:val="0"/>
        <w:spacing w:after="0" w:line="240" w:lineRule="auto"/>
        <w:rPr>
          <w:rFonts w:cstheme="minorHAnsi"/>
          <w:color w:val="000000" w:themeColor="text1"/>
          <w:sz w:val="24"/>
          <w:szCs w:val="24"/>
          <w:lang w:val="en-US"/>
        </w:rPr>
      </w:pPr>
    </w:p>
    <w:p w:rsidR="00553594" w:rsidRPr="00BE6174" w:rsidRDefault="00553594" w:rsidP="00553594">
      <w:p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Students should also be familiar with the home page of the </w:t>
      </w:r>
      <w:hyperlink r:id="rId9" w:history="1">
        <w:r w:rsidRPr="00BE6174">
          <w:rPr>
            <w:rStyle w:val="Hyperlink"/>
            <w:rFonts w:cstheme="minorHAnsi"/>
            <w:sz w:val="24"/>
            <w:szCs w:val="24"/>
            <w:lang w:val="en-US"/>
          </w:rPr>
          <w:t>office of the high commissioner for human rights</w:t>
        </w:r>
      </w:hyperlink>
      <w:r w:rsidRPr="00BE6174">
        <w:rPr>
          <w:rFonts w:cstheme="minorHAnsi"/>
          <w:color w:val="000000" w:themeColor="text1"/>
          <w:sz w:val="24"/>
          <w:szCs w:val="24"/>
          <w:lang w:val="en-US"/>
        </w:rPr>
        <w:t xml:space="preserve">. All the treaties, treaty body reports, communications, general comments and supporting material are on this site. </w:t>
      </w:r>
    </w:p>
    <w:p w:rsidR="00553594" w:rsidRPr="00BE6174" w:rsidRDefault="00553594" w:rsidP="00553594">
      <w:pPr>
        <w:snapToGrid w:val="0"/>
        <w:spacing w:after="0" w:line="240" w:lineRule="auto"/>
        <w:rPr>
          <w:rFonts w:cstheme="minorHAnsi"/>
          <w:color w:val="000000" w:themeColor="text1"/>
          <w:sz w:val="24"/>
          <w:szCs w:val="24"/>
          <w:lang w:val="en-US"/>
        </w:rPr>
      </w:pPr>
    </w:p>
    <w:p w:rsidR="00553594" w:rsidRPr="00BE6174" w:rsidRDefault="00553594" w:rsidP="00553594">
      <w:p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The European Court of Human Rights also possesses a </w:t>
      </w:r>
      <w:hyperlink r:id="rId10" w:anchor="n14597620384884950241259_pointer" w:history="1">
        <w:r w:rsidRPr="00BE6174">
          <w:rPr>
            <w:rStyle w:val="Hyperlink"/>
            <w:rFonts w:cstheme="minorHAnsi"/>
            <w:sz w:val="24"/>
            <w:szCs w:val="24"/>
            <w:lang w:val="en-US"/>
          </w:rPr>
          <w:t>case database.</w:t>
        </w:r>
      </w:hyperlink>
      <w:r w:rsidRPr="00BE6174">
        <w:rPr>
          <w:rFonts w:cstheme="minorHAnsi"/>
          <w:color w:val="000000" w:themeColor="text1"/>
          <w:sz w:val="24"/>
          <w:szCs w:val="24"/>
          <w:lang w:val="en-US"/>
        </w:rPr>
        <w:t xml:space="preserve"> </w:t>
      </w:r>
    </w:p>
    <w:p w:rsidR="00553594" w:rsidRPr="00BE6174" w:rsidRDefault="00553594" w:rsidP="00553594">
      <w:pPr>
        <w:snapToGrid w:val="0"/>
        <w:spacing w:after="0" w:line="240" w:lineRule="auto"/>
        <w:rPr>
          <w:rFonts w:cstheme="minorHAnsi"/>
          <w:color w:val="000000" w:themeColor="text1"/>
          <w:sz w:val="24"/>
          <w:szCs w:val="24"/>
          <w:lang w:val="en-US"/>
        </w:rPr>
      </w:pPr>
    </w:p>
    <w:p w:rsidR="00553594" w:rsidRPr="00BE6174" w:rsidRDefault="00553594" w:rsidP="00553594">
      <w:p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You are expected to know how to use these databases and should definitely, by the end of the course, know how to locate the main human rights documents from the UN and the ECHR. </w:t>
      </w:r>
    </w:p>
    <w:p w:rsidR="00553594" w:rsidRPr="00BE6174" w:rsidRDefault="00553594" w:rsidP="00553594">
      <w:p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Further materials will be distributed to the students as per the detailed syllabus below. </w:t>
      </w:r>
    </w:p>
    <w:p w:rsidR="00553594" w:rsidRPr="00BE6174" w:rsidRDefault="00553594" w:rsidP="00553594">
      <w:pPr>
        <w:snapToGrid w:val="0"/>
        <w:spacing w:after="0" w:line="240" w:lineRule="auto"/>
        <w:rPr>
          <w:rFonts w:cstheme="minorHAnsi"/>
          <w:color w:val="000000" w:themeColor="text1"/>
          <w:sz w:val="24"/>
          <w:szCs w:val="24"/>
          <w:lang w:val="en-US"/>
        </w:rPr>
      </w:pPr>
    </w:p>
    <w:p w:rsidR="00553594" w:rsidRPr="00BE6174" w:rsidRDefault="00553594" w:rsidP="00553594">
      <w:pPr>
        <w:snapToGrid w:val="0"/>
        <w:spacing w:after="0" w:line="240" w:lineRule="auto"/>
        <w:rPr>
          <w:rFonts w:cstheme="minorHAnsi"/>
          <w:color w:val="000000" w:themeColor="text1"/>
          <w:sz w:val="24"/>
          <w:szCs w:val="24"/>
          <w:lang w:val="en-US"/>
        </w:rPr>
      </w:pPr>
      <w:r w:rsidRPr="00BE6174">
        <w:rPr>
          <w:rFonts w:cstheme="minorHAnsi"/>
          <w:i/>
          <w:color w:val="000000" w:themeColor="text1"/>
          <w:sz w:val="24"/>
          <w:szCs w:val="24"/>
          <w:lang w:val="en-US"/>
        </w:rPr>
        <w:t xml:space="preserve">You are strongly recommended to undertake your own research and find your own materials in preparation for the exam. </w:t>
      </w:r>
    </w:p>
    <w:p w:rsidR="00553594" w:rsidRPr="00BE6174" w:rsidRDefault="00553594" w:rsidP="00553594">
      <w:pPr>
        <w:snapToGrid w:val="0"/>
        <w:spacing w:after="0" w:line="240" w:lineRule="auto"/>
        <w:rPr>
          <w:rFonts w:cstheme="minorHAnsi"/>
          <w:b/>
          <w:bCs/>
          <w:sz w:val="24"/>
          <w:szCs w:val="24"/>
          <w:lang w:val="en-US"/>
        </w:rPr>
      </w:pPr>
    </w:p>
    <w:p w:rsidR="00EA66B0" w:rsidRPr="00BE6174" w:rsidRDefault="00EA66B0" w:rsidP="00DD0BB8">
      <w:pPr>
        <w:spacing w:after="0" w:line="240" w:lineRule="auto"/>
        <w:rPr>
          <w:rFonts w:cstheme="minorHAnsi"/>
          <w:b/>
          <w:bCs/>
          <w:sz w:val="24"/>
          <w:szCs w:val="24"/>
          <w:lang w:val="en-US"/>
        </w:rPr>
      </w:pPr>
    </w:p>
    <w:p w:rsidR="00EA66B0" w:rsidRPr="00BE6174" w:rsidRDefault="00EA66B0" w:rsidP="00EA66B0">
      <w:pPr>
        <w:spacing w:after="0" w:line="240" w:lineRule="auto"/>
        <w:rPr>
          <w:rFonts w:cstheme="minorHAnsi"/>
          <w:b/>
          <w:bCs/>
          <w:sz w:val="24"/>
          <w:szCs w:val="24"/>
          <w:lang w:val="en-US"/>
        </w:rPr>
      </w:pPr>
      <w:r w:rsidRPr="00BE6174">
        <w:rPr>
          <w:rFonts w:cstheme="minorHAnsi"/>
          <w:b/>
          <w:bCs/>
          <w:sz w:val="24"/>
          <w:szCs w:val="24"/>
          <w:lang w:val="en-US"/>
        </w:rPr>
        <w:t>Cours</w:t>
      </w:r>
      <w:r w:rsidR="005E6467" w:rsidRPr="00BE6174">
        <w:rPr>
          <w:rFonts w:cstheme="minorHAnsi"/>
          <w:b/>
          <w:bCs/>
          <w:sz w:val="24"/>
          <w:szCs w:val="24"/>
          <w:lang w:val="en-US"/>
        </w:rPr>
        <w:t>e Dates and Topics</w:t>
      </w:r>
      <w:r w:rsidRPr="00BE6174">
        <w:rPr>
          <w:rFonts w:cstheme="minorHAnsi"/>
          <w:b/>
          <w:bCs/>
          <w:sz w:val="24"/>
          <w:szCs w:val="24"/>
          <w:lang w:val="en-US"/>
        </w:rPr>
        <w:t>:</w:t>
      </w:r>
    </w:p>
    <w:p w:rsidR="00005B65" w:rsidRPr="00BE6174" w:rsidRDefault="00005B65" w:rsidP="00EA66B0">
      <w:pPr>
        <w:spacing w:after="0" w:line="240" w:lineRule="auto"/>
        <w:rPr>
          <w:rFonts w:cstheme="minorHAnsi"/>
          <w:b/>
          <w:bCs/>
          <w:sz w:val="24"/>
          <w:szCs w:val="24"/>
          <w:lang w:val="en-US"/>
        </w:rPr>
      </w:pPr>
    </w:p>
    <w:p w:rsidR="00A22886" w:rsidRPr="00BE6174" w:rsidRDefault="00A22886" w:rsidP="00EA66B0">
      <w:pPr>
        <w:spacing w:after="0" w:line="240" w:lineRule="auto"/>
        <w:rPr>
          <w:rFonts w:cstheme="minorHAnsi"/>
          <w:b/>
          <w:bCs/>
          <w:sz w:val="24"/>
          <w:szCs w:val="24"/>
          <w:lang w:val="en-US"/>
        </w:rPr>
      </w:pPr>
      <w:r w:rsidRPr="00BE6174">
        <w:rPr>
          <w:rFonts w:cstheme="minorHAnsi"/>
          <w:b/>
          <w:bCs/>
          <w:sz w:val="24"/>
          <w:szCs w:val="24"/>
          <w:lang w:val="en-US"/>
        </w:rPr>
        <w:t>Each class is 4 hours</w:t>
      </w:r>
      <w:r w:rsidR="00A949A5" w:rsidRPr="00BE6174">
        <w:rPr>
          <w:rFonts w:cstheme="minorHAnsi"/>
          <w:b/>
          <w:bCs/>
          <w:sz w:val="24"/>
          <w:szCs w:val="24"/>
          <w:lang w:val="en-US"/>
        </w:rPr>
        <w:t xml:space="preserve"> and runs from 0815-1200</w:t>
      </w:r>
    </w:p>
    <w:p w:rsidR="00253648" w:rsidRPr="00BE6174" w:rsidRDefault="00EA66B0" w:rsidP="00A22886">
      <w:pPr>
        <w:spacing w:after="0" w:line="240" w:lineRule="auto"/>
        <w:rPr>
          <w:rFonts w:cstheme="minorHAnsi"/>
          <w:sz w:val="24"/>
          <w:szCs w:val="24"/>
          <w:lang w:val="en-US"/>
        </w:rPr>
      </w:pPr>
      <w:r w:rsidRPr="00BE6174">
        <w:rPr>
          <w:rFonts w:cstheme="minorHAnsi"/>
          <w:sz w:val="24"/>
          <w:szCs w:val="24"/>
          <w:lang w:val="en-US"/>
        </w:rPr>
        <w:t>8th October: Introduction, Origins and Basic Principles of Human Rights Law</w:t>
      </w:r>
    </w:p>
    <w:p w:rsidR="00EA66B0" w:rsidRPr="00BE6174" w:rsidRDefault="00253648" w:rsidP="00A22886">
      <w:pPr>
        <w:spacing w:after="0" w:line="240" w:lineRule="auto"/>
        <w:rPr>
          <w:rFonts w:cstheme="minorHAnsi"/>
          <w:sz w:val="24"/>
          <w:szCs w:val="24"/>
          <w:lang w:val="en-US"/>
        </w:rPr>
      </w:pPr>
      <w:r w:rsidRPr="00BE6174">
        <w:rPr>
          <w:rFonts w:cstheme="minorHAnsi"/>
          <w:sz w:val="24"/>
          <w:szCs w:val="24"/>
          <w:lang w:val="en-US"/>
        </w:rPr>
        <w:t>9</w:t>
      </w:r>
      <w:r w:rsidR="00EA66B0" w:rsidRPr="00BE6174">
        <w:rPr>
          <w:rFonts w:cstheme="minorHAnsi"/>
          <w:sz w:val="24"/>
          <w:szCs w:val="24"/>
          <w:lang w:val="en-US"/>
        </w:rPr>
        <w:t xml:space="preserve">th October: </w:t>
      </w:r>
      <w:r w:rsidR="00A22886" w:rsidRPr="00BE6174">
        <w:rPr>
          <w:rFonts w:cstheme="minorHAnsi"/>
          <w:sz w:val="24"/>
          <w:szCs w:val="24"/>
          <w:lang w:val="en-US"/>
        </w:rPr>
        <w:t>Theories of and justi</w:t>
      </w:r>
      <w:r w:rsidR="00A949A5" w:rsidRPr="00BE6174">
        <w:rPr>
          <w:rFonts w:cstheme="minorHAnsi"/>
          <w:sz w:val="24"/>
          <w:szCs w:val="24"/>
          <w:lang w:val="en-US"/>
        </w:rPr>
        <w:t>fications for indigenous rights</w:t>
      </w:r>
    </w:p>
    <w:p w:rsidR="00EA66B0" w:rsidRPr="00BE6174" w:rsidRDefault="00253648" w:rsidP="00A22886">
      <w:pPr>
        <w:spacing w:after="0" w:line="240" w:lineRule="auto"/>
        <w:rPr>
          <w:rFonts w:cstheme="minorHAnsi"/>
          <w:sz w:val="24"/>
          <w:szCs w:val="24"/>
          <w:lang w:val="en-US"/>
        </w:rPr>
      </w:pPr>
      <w:r w:rsidRPr="00BE6174">
        <w:rPr>
          <w:rFonts w:cstheme="minorHAnsi"/>
          <w:sz w:val="24"/>
          <w:szCs w:val="24"/>
          <w:lang w:val="en-US"/>
        </w:rPr>
        <w:t>11</w:t>
      </w:r>
      <w:r w:rsidR="00EA66B0" w:rsidRPr="00BE6174">
        <w:rPr>
          <w:rFonts w:cstheme="minorHAnsi"/>
          <w:sz w:val="24"/>
          <w:szCs w:val="24"/>
          <w:lang w:val="en-US"/>
        </w:rPr>
        <w:t>th October: The</w:t>
      </w:r>
      <w:r w:rsidR="00A949A5" w:rsidRPr="00BE6174">
        <w:rPr>
          <w:rFonts w:cstheme="minorHAnsi"/>
          <w:sz w:val="24"/>
          <w:szCs w:val="24"/>
          <w:lang w:val="en-US"/>
        </w:rPr>
        <w:t xml:space="preserve"> Core UN Human Rights Treaties</w:t>
      </w:r>
    </w:p>
    <w:p w:rsidR="00EA66B0" w:rsidRPr="00BE6174" w:rsidRDefault="00253648" w:rsidP="00A22886">
      <w:pPr>
        <w:spacing w:after="0" w:line="240" w:lineRule="auto"/>
        <w:rPr>
          <w:rFonts w:cstheme="minorHAnsi"/>
          <w:sz w:val="24"/>
          <w:szCs w:val="24"/>
          <w:lang w:val="en-US"/>
        </w:rPr>
      </w:pPr>
      <w:r w:rsidRPr="00BE6174">
        <w:rPr>
          <w:rFonts w:cstheme="minorHAnsi"/>
          <w:sz w:val="24"/>
          <w:szCs w:val="24"/>
          <w:lang w:val="en-US"/>
        </w:rPr>
        <w:t>12</w:t>
      </w:r>
      <w:r w:rsidR="00EA66B0" w:rsidRPr="00BE6174">
        <w:rPr>
          <w:rFonts w:cstheme="minorHAnsi"/>
          <w:sz w:val="24"/>
          <w:szCs w:val="24"/>
          <w:lang w:val="en-US"/>
        </w:rPr>
        <w:t xml:space="preserve">th October: </w:t>
      </w:r>
      <w:r w:rsidR="00A22886" w:rsidRPr="00BE6174">
        <w:rPr>
          <w:rFonts w:cstheme="minorHAnsi"/>
          <w:sz w:val="24"/>
          <w:szCs w:val="24"/>
          <w:lang w:val="en-US"/>
        </w:rPr>
        <w:t>The Core UN</w:t>
      </w:r>
      <w:r w:rsidR="00A949A5" w:rsidRPr="00BE6174">
        <w:rPr>
          <w:rFonts w:cstheme="minorHAnsi"/>
          <w:sz w:val="24"/>
          <w:szCs w:val="24"/>
          <w:lang w:val="en-US"/>
        </w:rPr>
        <w:t xml:space="preserve"> Human Rights Treaties (cont.)</w:t>
      </w:r>
    </w:p>
    <w:p w:rsidR="00A22886" w:rsidRPr="00BE6174" w:rsidRDefault="00253648" w:rsidP="00A22886">
      <w:pPr>
        <w:spacing w:after="0" w:line="240" w:lineRule="auto"/>
        <w:rPr>
          <w:rFonts w:cstheme="minorHAnsi"/>
          <w:sz w:val="24"/>
          <w:szCs w:val="24"/>
          <w:lang w:val="en-US"/>
        </w:rPr>
      </w:pPr>
      <w:r w:rsidRPr="00BE6174">
        <w:rPr>
          <w:rFonts w:cstheme="minorHAnsi"/>
          <w:sz w:val="24"/>
          <w:szCs w:val="24"/>
          <w:lang w:val="en-US"/>
        </w:rPr>
        <w:t>15</w:t>
      </w:r>
      <w:r w:rsidR="00EA66B0" w:rsidRPr="00BE6174">
        <w:rPr>
          <w:rFonts w:cstheme="minorHAnsi"/>
          <w:sz w:val="24"/>
          <w:szCs w:val="24"/>
          <w:lang w:val="en-US"/>
        </w:rPr>
        <w:t xml:space="preserve">th October: </w:t>
      </w:r>
      <w:r w:rsidR="00A22886" w:rsidRPr="00BE6174">
        <w:rPr>
          <w:rFonts w:cstheme="minorHAnsi"/>
          <w:sz w:val="24"/>
          <w:szCs w:val="24"/>
          <w:lang w:val="en-US"/>
        </w:rPr>
        <w:t>The European Convention on Human Rights</w:t>
      </w:r>
    </w:p>
    <w:p w:rsidR="00A22886" w:rsidRPr="00BE6174" w:rsidRDefault="00EA66B0" w:rsidP="00A22886">
      <w:pPr>
        <w:spacing w:after="0" w:line="240" w:lineRule="auto"/>
        <w:rPr>
          <w:rFonts w:cstheme="minorHAnsi"/>
          <w:sz w:val="24"/>
          <w:szCs w:val="24"/>
          <w:lang w:val="en-US"/>
        </w:rPr>
      </w:pPr>
      <w:r w:rsidRPr="00BE6174">
        <w:rPr>
          <w:rFonts w:cstheme="minorHAnsi"/>
          <w:sz w:val="24"/>
          <w:szCs w:val="24"/>
          <w:lang w:val="en-US"/>
        </w:rPr>
        <w:t xml:space="preserve">5th November: </w:t>
      </w:r>
      <w:r w:rsidR="00A22886" w:rsidRPr="00BE6174">
        <w:rPr>
          <w:rFonts w:cstheme="minorHAnsi"/>
          <w:sz w:val="24"/>
          <w:szCs w:val="24"/>
          <w:lang w:val="en-US"/>
        </w:rPr>
        <w:t xml:space="preserve">Indigenous rights in context </w:t>
      </w:r>
    </w:p>
    <w:p w:rsidR="00A22886" w:rsidRPr="00BE6174" w:rsidRDefault="00EA66B0" w:rsidP="00A22886">
      <w:pPr>
        <w:spacing w:after="0" w:line="240" w:lineRule="auto"/>
        <w:rPr>
          <w:rFonts w:cstheme="minorHAnsi"/>
          <w:sz w:val="24"/>
          <w:szCs w:val="24"/>
          <w:lang w:val="en-US"/>
        </w:rPr>
      </w:pPr>
      <w:r w:rsidRPr="00BE6174">
        <w:rPr>
          <w:rFonts w:cstheme="minorHAnsi"/>
          <w:sz w:val="24"/>
          <w:szCs w:val="24"/>
          <w:lang w:val="en-US"/>
        </w:rPr>
        <w:t xml:space="preserve">6th November: </w:t>
      </w:r>
      <w:r w:rsidR="00A22886" w:rsidRPr="00BE6174">
        <w:rPr>
          <w:rFonts w:cstheme="minorHAnsi"/>
          <w:sz w:val="24"/>
          <w:szCs w:val="24"/>
          <w:lang w:val="en-US"/>
        </w:rPr>
        <w:t xml:space="preserve">The principle of non-discrimination (with </w:t>
      </w:r>
      <w:proofErr w:type="spellStart"/>
      <w:r w:rsidR="00A22886" w:rsidRPr="00BE6174">
        <w:rPr>
          <w:rFonts w:cstheme="minorHAnsi"/>
          <w:sz w:val="24"/>
          <w:szCs w:val="24"/>
          <w:lang w:val="en-US"/>
        </w:rPr>
        <w:t>Mandana</w:t>
      </w:r>
      <w:proofErr w:type="spellEnd"/>
      <w:r w:rsidR="00A22886" w:rsidRPr="00BE6174">
        <w:rPr>
          <w:rFonts w:cstheme="minorHAnsi"/>
          <w:sz w:val="24"/>
          <w:szCs w:val="24"/>
          <w:lang w:val="en-US"/>
        </w:rPr>
        <w:t xml:space="preserve"> </w:t>
      </w:r>
      <w:proofErr w:type="spellStart"/>
      <w:r w:rsidR="00A22886" w:rsidRPr="00BE6174">
        <w:rPr>
          <w:rFonts w:cstheme="minorHAnsi"/>
          <w:sz w:val="24"/>
          <w:szCs w:val="24"/>
          <w:lang w:val="en-US"/>
        </w:rPr>
        <w:t>Zarrehparvar</w:t>
      </w:r>
      <w:proofErr w:type="spellEnd"/>
      <w:r w:rsidR="00A22886" w:rsidRPr="00BE6174">
        <w:rPr>
          <w:rFonts w:cstheme="minorHAnsi"/>
          <w:sz w:val="24"/>
          <w:szCs w:val="24"/>
          <w:lang w:val="en-US"/>
        </w:rPr>
        <w:t>)</w:t>
      </w:r>
    </w:p>
    <w:p w:rsidR="00A22886" w:rsidRPr="00BE6174" w:rsidRDefault="005E6467" w:rsidP="00A22886">
      <w:pPr>
        <w:spacing w:after="0" w:line="240" w:lineRule="auto"/>
        <w:rPr>
          <w:rFonts w:cstheme="minorHAnsi"/>
          <w:sz w:val="24"/>
          <w:szCs w:val="24"/>
          <w:lang w:val="en-US"/>
        </w:rPr>
      </w:pPr>
      <w:r w:rsidRPr="00BE6174">
        <w:rPr>
          <w:rFonts w:cstheme="minorHAnsi"/>
          <w:sz w:val="24"/>
          <w:szCs w:val="24"/>
          <w:lang w:val="en-US"/>
        </w:rPr>
        <w:t>8</w:t>
      </w:r>
      <w:r w:rsidR="00EA66B0" w:rsidRPr="00BE6174">
        <w:rPr>
          <w:rFonts w:cstheme="minorHAnsi"/>
          <w:sz w:val="24"/>
          <w:szCs w:val="24"/>
          <w:lang w:val="en-US"/>
        </w:rPr>
        <w:t xml:space="preserve">th November: </w:t>
      </w:r>
      <w:r w:rsidR="00A22886" w:rsidRPr="00BE6174">
        <w:rPr>
          <w:rFonts w:cstheme="minorHAnsi"/>
          <w:sz w:val="24"/>
          <w:szCs w:val="24"/>
          <w:lang w:val="en-US"/>
        </w:rPr>
        <w:t>State responsibility and remedies in human rights law</w:t>
      </w:r>
    </w:p>
    <w:p w:rsidR="00A22886" w:rsidRPr="00BE6174" w:rsidRDefault="005E6467" w:rsidP="00A22886">
      <w:pPr>
        <w:spacing w:after="0" w:line="240" w:lineRule="auto"/>
        <w:rPr>
          <w:rFonts w:cstheme="minorHAnsi"/>
          <w:sz w:val="24"/>
          <w:szCs w:val="24"/>
          <w:lang w:val="en-US"/>
        </w:rPr>
      </w:pPr>
      <w:r w:rsidRPr="00BE6174">
        <w:rPr>
          <w:rFonts w:cstheme="minorHAnsi"/>
          <w:sz w:val="24"/>
          <w:szCs w:val="24"/>
          <w:lang w:val="en-US"/>
        </w:rPr>
        <w:t>9</w:t>
      </w:r>
      <w:r w:rsidR="00EA66B0" w:rsidRPr="00BE6174">
        <w:rPr>
          <w:rFonts w:cstheme="minorHAnsi"/>
          <w:sz w:val="24"/>
          <w:szCs w:val="24"/>
          <w:lang w:val="en-US"/>
        </w:rPr>
        <w:t xml:space="preserve">th November: </w:t>
      </w:r>
      <w:r w:rsidR="00A22886" w:rsidRPr="00BE6174">
        <w:rPr>
          <w:rFonts w:cstheme="minorHAnsi"/>
          <w:sz w:val="24"/>
          <w:szCs w:val="24"/>
          <w:lang w:val="en-US"/>
        </w:rPr>
        <w:t>Treaty Monitoring and Enforcement</w:t>
      </w:r>
    </w:p>
    <w:p w:rsidR="00EA66B0" w:rsidRPr="00BE6174" w:rsidRDefault="00EA66B0" w:rsidP="00A22886">
      <w:pPr>
        <w:spacing w:after="0" w:line="240" w:lineRule="auto"/>
        <w:rPr>
          <w:rFonts w:cstheme="minorHAnsi"/>
          <w:sz w:val="24"/>
          <w:szCs w:val="24"/>
          <w:lang w:val="en-US"/>
        </w:rPr>
      </w:pPr>
    </w:p>
    <w:p w:rsidR="00005B65" w:rsidRPr="00BE6174" w:rsidRDefault="00005B65" w:rsidP="00A22886">
      <w:pPr>
        <w:spacing w:after="0" w:line="240" w:lineRule="auto"/>
        <w:rPr>
          <w:rFonts w:cstheme="minorHAnsi"/>
          <w:sz w:val="24"/>
          <w:szCs w:val="24"/>
          <w:lang w:val="en-US"/>
        </w:rPr>
      </w:pPr>
    </w:p>
    <w:p w:rsidR="00005B65" w:rsidRPr="00BE6174" w:rsidRDefault="00005B65">
      <w:pPr>
        <w:rPr>
          <w:rFonts w:cstheme="minorHAnsi"/>
          <w:b/>
          <w:sz w:val="24"/>
          <w:szCs w:val="24"/>
          <w:lang w:val="en-US"/>
        </w:rPr>
      </w:pPr>
      <w:r w:rsidRPr="00BE6174">
        <w:rPr>
          <w:rFonts w:cstheme="minorHAnsi"/>
          <w:b/>
          <w:sz w:val="24"/>
          <w:szCs w:val="24"/>
          <w:lang w:val="en-US"/>
        </w:rPr>
        <w:br w:type="page"/>
      </w:r>
    </w:p>
    <w:p w:rsidR="00005B65" w:rsidRPr="00BE6174" w:rsidRDefault="00005B65" w:rsidP="00A22886">
      <w:pPr>
        <w:spacing w:after="0" w:line="240" w:lineRule="auto"/>
        <w:rPr>
          <w:rFonts w:cstheme="minorHAnsi"/>
          <w:b/>
          <w:sz w:val="24"/>
          <w:szCs w:val="24"/>
          <w:lang w:val="en-US"/>
        </w:rPr>
      </w:pPr>
      <w:r w:rsidRPr="00BE6174">
        <w:rPr>
          <w:rFonts w:cstheme="minorHAnsi"/>
          <w:b/>
          <w:sz w:val="24"/>
          <w:szCs w:val="24"/>
          <w:lang w:val="en-US"/>
        </w:rPr>
        <w:lastRenderedPageBreak/>
        <w:t xml:space="preserve">CLASS TOPICS AND READINGS, ETC. </w:t>
      </w:r>
    </w:p>
    <w:p w:rsidR="00005B65" w:rsidRPr="00BE6174" w:rsidRDefault="00005B65" w:rsidP="00A22886">
      <w:pPr>
        <w:spacing w:after="0" w:line="240" w:lineRule="auto"/>
        <w:rPr>
          <w:rFonts w:cstheme="minorHAnsi"/>
          <w:b/>
          <w:sz w:val="24"/>
          <w:szCs w:val="24"/>
          <w:lang w:val="en-US"/>
        </w:rPr>
      </w:pPr>
    </w:p>
    <w:p w:rsidR="00005B65" w:rsidRPr="00BE6174" w:rsidRDefault="00005B65" w:rsidP="00005B65">
      <w:pPr>
        <w:spacing w:after="0" w:line="240" w:lineRule="auto"/>
        <w:rPr>
          <w:rFonts w:cstheme="minorHAnsi"/>
          <w:b/>
          <w:color w:val="FF0000"/>
          <w:sz w:val="24"/>
          <w:szCs w:val="24"/>
          <w:lang w:val="en-US"/>
        </w:rPr>
      </w:pPr>
      <w:r w:rsidRPr="00BE6174">
        <w:rPr>
          <w:rFonts w:cstheme="minorHAnsi"/>
          <w:b/>
          <w:color w:val="FF0000"/>
          <w:sz w:val="24"/>
          <w:szCs w:val="24"/>
          <w:lang w:val="en-US"/>
        </w:rPr>
        <w:t>8th October: Introduction, Origins and Basic Principles of Human Rights Law</w:t>
      </w:r>
    </w:p>
    <w:p w:rsidR="00005B65" w:rsidRPr="00BE6174" w:rsidRDefault="00005B65" w:rsidP="00005B65">
      <w:pPr>
        <w:pStyle w:val="ListParagraph"/>
        <w:numPr>
          <w:ilvl w:val="0"/>
          <w:numId w:val="2"/>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Pre – WWII</w:t>
      </w:r>
    </w:p>
    <w:p w:rsidR="00005B65" w:rsidRPr="00BE6174" w:rsidRDefault="00005B65" w:rsidP="00005B65">
      <w:pPr>
        <w:pStyle w:val="ListParagraph"/>
        <w:numPr>
          <w:ilvl w:val="0"/>
          <w:numId w:val="2"/>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UN Charter</w:t>
      </w:r>
    </w:p>
    <w:p w:rsidR="00005B65" w:rsidRPr="00BE6174" w:rsidRDefault="00005B65" w:rsidP="00005B65">
      <w:pPr>
        <w:pStyle w:val="ListParagraph"/>
        <w:numPr>
          <w:ilvl w:val="0"/>
          <w:numId w:val="2"/>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UDHR</w:t>
      </w:r>
    </w:p>
    <w:p w:rsidR="00005B65" w:rsidRPr="00BE6174" w:rsidRDefault="00005B65" w:rsidP="00005B65">
      <w:pPr>
        <w:pStyle w:val="ListParagraph"/>
        <w:numPr>
          <w:ilvl w:val="0"/>
          <w:numId w:val="2"/>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U.N. Charter bodies:</w:t>
      </w:r>
      <w:r w:rsidRPr="00BE6174">
        <w:rPr>
          <w:rFonts w:cstheme="minorHAnsi"/>
          <w:color w:val="000000" w:themeColor="text1"/>
          <w:sz w:val="24"/>
          <w:szCs w:val="24"/>
          <w:lang w:val="en-US"/>
        </w:rPr>
        <w:br/>
        <w:t>Human Rights Council</w:t>
      </w:r>
      <w:r w:rsidRPr="00BE6174">
        <w:rPr>
          <w:rFonts w:cstheme="minorHAnsi"/>
          <w:color w:val="000000" w:themeColor="text1"/>
          <w:sz w:val="24"/>
          <w:szCs w:val="24"/>
          <w:lang w:val="en-US"/>
        </w:rPr>
        <w:br/>
        <w:t>General Assembly</w:t>
      </w:r>
      <w:r w:rsidRPr="00BE6174">
        <w:rPr>
          <w:rFonts w:cstheme="minorHAnsi"/>
          <w:color w:val="000000" w:themeColor="text1"/>
          <w:sz w:val="24"/>
          <w:szCs w:val="24"/>
          <w:lang w:val="en-US"/>
        </w:rPr>
        <w:br/>
        <w:t>Security Council</w:t>
      </w:r>
    </w:p>
    <w:p w:rsidR="00005B65" w:rsidRPr="00BE6174" w:rsidRDefault="00005B65" w:rsidP="00005B65">
      <w:pPr>
        <w:pStyle w:val="ListParagraph"/>
        <w:numPr>
          <w:ilvl w:val="0"/>
          <w:numId w:val="2"/>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Customary International Law</w:t>
      </w:r>
    </w:p>
    <w:p w:rsidR="00005B65" w:rsidRPr="00BE6174" w:rsidRDefault="00005B65" w:rsidP="00005B65">
      <w:pPr>
        <w:snapToGrid w:val="0"/>
        <w:spacing w:after="0" w:line="240" w:lineRule="auto"/>
        <w:rPr>
          <w:rFonts w:cstheme="minorHAnsi"/>
          <w:color w:val="000000" w:themeColor="text1"/>
          <w:sz w:val="24"/>
          <w:szCs w:val="24"/>
          <w:lang w:val="en-US"/>
        </w:rPr>
      </w:pPr>
    </w:p>
    <w:p w:rsidR="00005B65" w:rsidRPr="00BE6174" w:rsidRDefault="00005B65" w:rsidP="00005B65">
      <w:pPr>
        <w:snapToGrid w:val="0"/>
        <w:spacing w:after="0" w:line="240" w:lineRule="auto"/>
        <w:rPr>
          <w:rFonts w:cstheme="minorHAnsi"/>
          <w:b/>
          <w:color w:val="000000" w:themeColor="text1"/>
          <w:sz w:val="24"/>
          <w:szCs w:val="24"/>
          <w:lang w:val="en-US"/>
        </w:rPr>
      </w:pPr>
      <w:r w:rsidRPr="00BE6174">
        <w:rPr>
          <w:rFonts w:cstheme="minorHAnsi"/>
          <w:b/>
          <w:color w:val="000000" w:themeColor="text1"/>
          <w:sz w:val="24"/>
          <w:szCs w:val="24"/>
          <w:lang w:val="en-US"/>
        </w:rPr>
        <w:t>Essential Reading:</w:t>
      </w:r>
    </w:p>
    <w:p w:rsidR="00005B65" w:rsidRPr="00BE6174" w:rsidRDefault="00005B65" w:rsidP="00005B65">
      <w:pPr>
        <w:numPr>
          <w:ilvl w:val="0"/>
          <w:numId w:val="3"/>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Smith, Chapter 2</w:t>
      </w:r>
    </w:p>
    <w:p w:rsidR="00005B65" w:rsidRPr="00BE6174" w:rsidRDefault="00005B65" w:rsidP="00005B65">
      <w:pPr>
        <w:numPr>
          <w:ilvl w:val="0"/>
          <w:numId w:val="3"/>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Browse: </w:t>
      </w:r>
      <w:hyperlink r:id="rId11" w:history="1">
        <w:r w:rsidRPr="00BE6174">
          <w:rPr>
            <w:rStyle w:val="Hyperlink"/>
            <w:rFonts w:cstheme="minorHAnsi"/>
            <w:color w:val="000000" w:themeColor="text1"/>
            <w:sz w:val="24"/>
            <w:szCs w:val="24"/>
            <w:lang w:val="en-US"/>
          </w:rPr>
          <w:t>www.ohchr.org</w:t>
        </w:r>
      </w:hyperlink>
    </w:p>
    <w:p w:rsidR="00005B65" w:rsidRPr="00BE6174" w:rsidRDefault="00005B65" w:rsidP="00005B65">
      <w:pPr>
        <w:snapToGrid w:val="0"/>
        <w:spacing w:after="0" w:line="240" w:lineRule="auto"/>
        <w:rPr>
          <w:rFonts w:cstheme="minorHAnsi"/>
          <w:color w:val="000000" w:themeColor="text1"/>
          <w:sz w:val="24"/>
          <w:szCs w:val="24"/>
          <w:lang w:val="en-US"/>
        </w:rPr>
      </w:pPr>
    </w:p>
    <w:p w:rsidR="00005B65" w:rsidRPr="00BE6174" w:rsidRDefault="00005B65" w:rsidP="00005B65">
      <w:pPr>
        <w:snapToGrid w:val="0"/>
        <w:spacing w:after="0" w:line="240" w:lineRule="auto"/>
        <w:rPr>
          <w:rFonts w:cstheme="minorHAnsi"/>
          <w:b/>
          <w:color w:val="000000" w:themeColor="text1"/>
          <w:sz w:val="24"/>
          <w:szCs w:val="24"/>
          <w:lang w:val="en-US"/>
        </w:rPr>
      </w:pPr>
      <w:r w:rsidRPr="00BE6174">
        <w:rPr>
          <w:rFonts w:cstheme="minorHAnsi"/>
          <w:b/>
          <w:color w:val="000000" w:themeColor="text1"/>
          <w:sz w:val="24"/>
          <w:szCs w:val="24"/>
          <w:lang w:val="en-US"/>
        </w:rPr>
        <w:t>Further Reading:</w:t>
      </w:r>
    </w:p>
    <w:p w:rsidR="00005B65" w:rsidRPr="00BE6174" w:rsidRDefault="00005B65" w:rsidP="00005B65">
      <w:pPr>
        <w:numPr>
          <w:ilvl w:val="0"/>
          <w:numId w:val="4"/>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Smith, Ch. 1, 3 &amp; 5. </w:t>
      </w:r>
    </w:p>
    <w:p w:rsidR="00005B65" w:rsidRPr="00BE6174" w:rsidRDefault="00005B65" w:rsidP="00005B65">
      <w:pPr>
        <w:spacing w:after="0" w:line="240" w:lineRule="auto"/>
        <w:rPr>
          <w:rFonts w:cstheme="minorHAnsi"/>
          <w:sz w:val="24"/>
          <w:szCs w:val="24"/>
          <w:lang w:val="en-US"/>
        </w:rPr>
      </w:pPr>
    </w:p>
    <w:p w:rsidR="00005B65" w:rsidRPr="00BE6174" w:rsidRDefault="00005B65" w:rsidP="00005B65">
      <w:pPr>
        <w:spacing w:after="0" w:line="240" w:lineRule="auto"/>
        <w:rPr>
          <w:rFonts w:cstheme="minorHAnsi"/>
          <w:sz w:val="24"/>
          <w:szCs w:val="24"/>
          <w:lang w:val="en-US"/>
        </w:rPr>
      </w:pPr>
    </w:p>
    <w:p w:rsidR="00005B65" w:rsidRPr="00983824" w:rsidRDefault="00005B65" w:rsidP="00005B65">
      <w:pPr>
        <w:spacing w:after="0" w:line="240" w:lineRule="auto"/>
        <w:rPr>
          <w:rFonts w:cstheme="minorHAnsi"/>
          <w:b/>
          <w:color w:val="FF0000"/>
          <w:sz w:val="24"/>
          <w:szCs w:val="24"/>
          <w:lang w:val="en-US"/>
        </w:rPr>
      </w:pPr>
      <w:r w:rsidRPr="00983824">
        <w:rPr>
          <w:rFonts w:cstheme="minorHAnsi"/>
          <w:b/>
          <w:color w:val="FF0000"/>
          <w:sz w:val="24"/>
          <w:szCs w:val="24"/>
          <w:lang w:val="en-US"/>
        </w:rPr>
        <w:t>9th October: Theories of and justifications for indigenous rights</w:t>
      </w:r>
    </w:p>
    <w:p w:rsidR="00005B65" w:rsidRPr="00983824" w:rsidRDefault="00BE6174" w:rsidP="00BE6174">
      <w:pPr>
        <w:pStyle w:val="ListParagraph"/>
        <w:numPr>
          <w:ilvl w:val="0"/>
          <w:numId w:val="20"/>
        </w:numPr>
        <w:spacing w:after="0" w:line="240" w:lineRule="auto"/>
        <w:rPr>
          <w:rFonts w:cstheme="minorHAnsi"/>
          <w:sz w:val="24"/>
          <w:szCs w:val="24"/>
          <w:lang w:val="en-US"/>
        </w:rPr>
      </w:pPr>
      <w:r w:rsidRPr="00983824">
        <w:rPr>
          <w:rFonts w:cstheme="minorHAnsi"/>
          <w:sz w:val="24"/>
          <w:szCs w:val="24"/>
          <w:lang w:val="en-US"/>
        </w:rPr>
        <w:t>Identifying indigenous peoples and minorities</w:t>
      </w:r>
    </w:p>
    <w:p w:rsidR="00BE6174" w:rsidRDefault="00BE6174" w:rsidP="00983824">
      <w:pPr>
        <w:pStyle w:val="ListParagraph"/>
        <w:numPr>
          <w:ilvl w:val="0"/>
          <w:numId w:val="20"/>
        </w:numPr>
        <w:spacing w:after="0" w:line="240" w:lineRule="auto"/>
        <w:rPr>
          <w:rFonts w:cstheme="minorHAnsi"/>
          <w:sz w:val="24"/>
          <w:szCs w:val="24"/>
          <w:lang w:val="en-US"/>
        </w:rPr>
      </w:pPr>
      <w:r w:rsidRPr="00983824">
        <w:rPr>
          <w:rFonts w:cstheme="minorHAnsi"/>
          <w:sz w:val="24"/>
          <w:szCs w:val="24"/>
          <w:lang w:val="en-US"/>
        </w:rPr>
        <w:t xml:space="preserve">Colonization and the limits of decolonization </w:t>
      </w:r>
    </w:p>
    <w:p w:rsidR="00A0181D" w:rsidRPr="00983824" w:rsidRDefault="00A0181D" w:rsidP="00983824">
      <w:pPr>
        <w:pStyle w:val="ListParagraph"/>
        <w:numPr>
          <w:ilvl w:val="0"/>
          <w:numId w:val="20"/>
        </w:numPr>
        <w:spacing w:after="0" w:line="240" w:lineRule="auto"/>
        <w:rPr>
          <w:rFonts w:cstheme="minorHAnsi"/>
          <w:sz w:val="24"/>
          <w:szCs w:val="24"/>
          <w:lang w:val="en-US"/>
        </w:rPr>
      </w:pPr>
      <w:r>
        <w:rPr>
          <w:rFonts w:cstheme="minorHAnsi"/>
          <w:sz w:val="24"/>
          <w:szCs w:val="24"/>
          <w:lang w:val="en-US"/>
        </w:rPr>
        <w:t xml:space="preserve">Introduction to indigenous rights in the UN system (including ILO) </w:t>
      </w:r>
    </w:p>
    <w:p w:rsidR="00BE6174" w:rsidRPr="00983824" w:rsidRDefault="00BE6174" w:rsidP="00BE6174">
      <w:pPr>
        <w:spacing w:after="0" w:line="240" w:lineRule="auto"/>
        <w:rPr>
          <w:rFonts w:cstheme="minorHAnsi"/>
          <w:sz w:val="24"/>
          <w:szCs w:val="24"/>
          <w:lang w:val="en-US"/>
        </w:rPr>
      </w:pPr>
    </w:p>
    <w:p w:rsidR="00BE6174" w:rsidRPr="00BE6174" w:rsidRDefault="00BE6174" w:rsidP="00983824">
      <w:pPr>
        <w:spacing w:after="0" w:line="240" w:lineRule="auto"/>
        <w:rPr>
          <w:rFonts w:cstheme="minorHAnsi"/>
          <w:b/>
          <w:sz w:val="24"/>
          <w:szCs w:val="24"/>
          <w:lang w:val="en-US"/>
        </w:rPr>
      </w:pPr>
      <w:r w:rsidRPr="00983824">
        <w:rPr>
          <w:rFonts w:cstheme="minorHAnsi"/>
          <w:b/>
          <w:sz w:val="24"/>
          <w:szCs w:val="24"/>
          <w:lang w:val="en-US"/>
        </w:rPr>
        <w:t>Essential Reading:</w:t>
      </w:r>
      <w:r>
        <w:rPr>
          <w:rFonts w:cstheme="minorHAnsi"/>
          <w:b/>
          <w:sz w:val="24"/>
          <w:szCs w:val="24"/>
          <w:lang w:val="en-US"/>
        </w:rPr>
        <w:t xml:space="preserve"> </w:t>
      </w:r>
    </w:p>
    <w:p w:rsidR="00983824" w:rsidRPr="00983824" w:rsidRDefault="00B75DEA" w:rsidP="00983824">
      <w:pPr>
        <w:pStyle w:val="ListParagraph"/>
        <w:numPr>
          <w:ilvl w:val="0"/>
          <w:numId w:val="21"/>
        </w:numPr>
        <w:tabs>
          <w:tab w:val="num" w:pos="1440"/>
        </w:tabs>
        <w:spacing w:after="0" w:line="240" w:lineRule="auto"/>
        <w:rPr>
          <w:rFonts w:cstheme="minorHAnsi"/>
          <w:sz w:val="24"/>
          <w:szCs w:val="24"/>
          <w:lang w:val="en-US"/>
        </w:rPr>
      </w:pPr>
      <w:hyperlink r:id="rId12" w:history="1">
        <w:r w:rsidR="00983824" w:rsidRPr="00983824">
          <w:rPr>
            <w:rStyle w:val="Hyperlink"/>
            <w:rFonts w:cstheme="minorHAnsi"/>
            <w:sz w:val="24"/>
            <w:szCs w:val="24"/>
            <w:lang w:val="en-US"/>
          </w:rPr>
          <w:t>GA Resolution 1514</w:t>
        </w:r>
      </w:hyperlink>
      <w:r w:rsidR="00983824" w:rsidRPr="00983824">
        <w:rPr>
          <w:rFonts w:cstheme="minorHAnsi"/>
          <w:sz w:val="24"/>
          <w:szCs w:val="24"/>
          <w:lang w:val="en-US"/>
        </w:rPr>
        <w:t xml:space="preserve"> (Independence of Colonial Peoples, 1960); </w:t>
      </w:r>
    </w:p>
    <w:p w:rsidR="00983824" w:rsidRPr="00983824" w:rsidRDefault="00B75DEA" w:rsidP="00983824">
      <w:pPr>
        <w:pStyle w:val="ListParagraph"/>
        <w:numPr>
          <w:ilvl w:val="0"/>
          <w:numId w:val="21"/>
        </w:numPr>
        <w:tabs>
          <w:tab w:val="num" w:pos="1440"/>
        </w:tabs>
        <w:spacing w:after="0" w:line="240" w:lineRule="auto"/>
        <w:rPr>
          <w:rFonts w:cstheme="minorHAnsi"/>
          <w:sz w:val="24"/>
          <w:szCs w:val="24"/>
          <w:lang w:val="en-US"/>
        </w:rPr>
      </w:pPr>
      <w:hyperlink r:id="rId13" w:history="1">
        <w:r w:rsidR="00983824" w:rsidRPr="00983824">
          <w:rPr>
            <w:rStyle w:val="Hyperlink"/>
            <w:rFonts w:cstheme="minorHAnsi"/>
            <w:sz w:val="24"/>
            <w:szCs w:val="24"/>
            <w:lang w:val="en-US"/>
          </w:rPr>
          <w:t>GA Resolution 1541</w:t>
        </w:r>
      </w:hyperlink>
      <w:r w:rsidR="00983824" w:rsidRPr="00983824">
        <w:rPr>
          <w:rFonts w:cstheme="minorHAnsi"/>
          <w:sz w:val="24"/>
          <w:szCs w:val="24"/>
          <w:lang w:val="en-US"/>
        </w:rPr>
        <w:t xml:space="preserve"> (Principles which should guide states on non-self-governing territories, art. 73, 1960);</w:t>
      </w:r>
    </w:p>
    <w:p w:rsidR="00983824" w:rsidRDefault="00B75DEA" w:rsidP="00983824">
      <w:pPr>
        <w:pStyle w:val="ListParagraph"/>
        <w:numPr>
          <w:ilvl w:val="0"/>
          <w:numId w:val="21"/>
        </w:numPr>
        <w:spacing w:after="0" w:line="240" w:lineRule="auto"/>
        <w:rPr>
          <w:rFonts w:cstheme="minorHAnsi"/>
          <w:sz w:val="24"/>
          <w:szCs w:val="24"/>
          <w:lang w:val="en-US"/>
        </w:rPr>
      </w:pPr>
      <w:hyperlink r:id="rId14" w:history="1">
        <w:r w:rsidR="00983824" w:rsidRPr="00983824">
          <w:rPr>
            <w:rStyle w:val="Hyperlink"/>
            <w:rFonts w:cstheme="minorHAnsi"/>
            <w:sz w:val="24"/>
            <w:szCs w:val="24"/>
            <w:lang w:val="en-US"/>
          </w:rPr>
          <w:t>A Circumpolar Inuit Declaration on Sovereignty in the Arctic, 2009</w:t>
        </w:r>
      </w:hyperlink>
      <w:r w:rsidR="00983824">
        <w:rPr>
          <w:rFonts w:cstheme="minorHAnsi"/>
          <w:sz w:val="24"/>
          <w:szCs w:val="24"/>
          <w:lang w:val="en-US"/>
        </w:rPr>
        <w:t>, Inuit Circumpolar Council</w:t>
      </w:r>
    </w:p>
    <w:p w:rsidR="00005B65" w:rsidRDefault="00B75DEA" w:rsidP="00983824">
      <w:pPr>
        <w:pStyle w:val="ListParagraph"/>
        <w:numPr>
          <w:ilvl w:val="0"/>
          <w:numId w:val="21"/>
        </w:numPr>
        <w:spacing w:after="0" w:line="240" w:lineRule="auto"/>
        <w:rPr>
          <w:rFonts w:cstheme="minorHAnsi"/>
          <w:sz w:val="24"/>
          <w:szCs w:val="24"/>
          <w:lang w:val="en-US"/>
        </w:rPr>
      </w:pPr>
      <w:hyperlink r:id="rId15" w:history="1">
        <w:r w:rsidR="00983824" w:rsidRPr="00983824">
          <w:rPr>
            <w:rStyle w:val="Hyperlink"/>
            <w:rFonts w:cstheme="minorHAnsi"/>
            <w:sz w:val="24"/>
            <w:szCs w:val="24"/>
            <w:lang w:val="en-US"/>
          </w:rPr>
          <w:t xml:space="preserve">The Concept </w:t>
        </w:r>
        <w:r w:rsidR="00983824">
          <w:rPr>
            <w:rStyle w:val="Hyperlink"/>
            <w:rFonts w:cstheme="minorHAnsi"/>
            <w:sz w:val="24"/>
            <w:szCs w:val="24"/>
            <w:lang w:val="en-US"/>
          </w:rPr>
          <w:t>o</w:t>
        </w:r>
        <w:r w:rsidR="00983824" w:rsidRPr="00983824">
          <w:rPr>
            <w:rStyle w:val="Hyperlink"/>
            <w:rFonts w:cstheme="minorHAnsi"/>
            <w:sz w:val="24"/>
            <w:szCs w:val="24"/>
            <w:lang w:val="en-US"/>
          </w:rPr>
          <w:t>f Indigenous Peoples</w:t>
        </w:r>
      </w:hyperlink>
      <w:r w:rsidR="00983824" w:rsidRPr="00983824">
        <w:rPr>
          <w:rFonts w:cstheme="minorHAnsi"/>
          <w:sz w:val="24"/>
          <w:szCs w:val="24"/>
          <w:lang w:val="en-US"/>
        </w:rPr>
        <w:t>: Background paper prepared by the Secretariat of the Permanent Forum on Indigenous Issues</w:t>
      </w:r>
    </w:p>
    <w:p w:rsidR="00983824" w:rsidRDefault="00983824" w:rsidP="00983824">
      <w:pPr>
        <w:pStyle w:val="ListParagraph"/>
        <w:numPr>
          <w:ilvl w:val="0"/>
          <w:numId w:val="21"/>
        </w:numPr>
        <w:spacing w:after="0" w:line="240" w:lineRule="auto"/>
        <w:rPr>
          <w:rFonts w:cstheme="minorHAnsi"/>
          <w:sz w:val="24"/>
          <w:szCs w:val="24"/>
          <w:lang w:val="en-US"/>
        </w:rPr>
      </w:pPr>
      <w:r>
        <w:rPr>
          <w:rFonts w:cstheme="minorHAnsi"/>
          <w:sz w:val="24"/>
          <w:szCs w:val="24"/>
          <w:lang w:val="en-US"/>
        </w:rPr>
        <w:t xml:space="preserve">Paul Patton, “Philosophical Justifications for Indigenous Rights” in </w:t>
      </w:r>
      <w:r>
        <w:rPr>
          <w:rFonts w:cstheme="minorHAnsi"/>
          <w:i/>
          <w:sz w:val="24"/>
          <w:szCs w:val="24"/>
          <w:lang w:val="en-US"/>
        </w:rPr>
        <w:t xml:space="preserve">Handbook of Indigenous Peoples’ Rights, </w:t>
      </w:r>
      <w:r>
        <w:rPr>
          <w:rFonts w:cstheme="minorHAnsi"/>
          <w:sz w:val="24"/>
          <w:szCs w:val="24"/>
          <w:lang w:val="en-US"/>
        </w:rPr>
        <w:t>Corinne Lennox and Damien Short, eds. (Routledge, 2017) (distributed by the instructor).</w:t>
      </w:r>
    </w:p>
    <w:p w:rsidR="00983824" w:rsidRDefault="00983824" w:rsidP="000044E0">
      <w:pPr>
        <w:pStyle w:val="ListParagraph"/>
        <w:numPr>
          <w:ilvl w:val="0"/>
          <w:numId w:val="21"/>
        </w:numPr>
        <w:spacing w:after="0" w:line="240" w:lineRule="auto"/>
        <w:rPr>
          <w:rFonts w:cstheme="minorHAnsi"/>
          <w:sz w:val="24"/>
          <w:szCs w:val="24"/>
          <w:lang w:val="en-US"/>
        </w:rPr>
      </w:pPr>
      <w:r>
        <w:rPr>
          <w:rFonts w:cstheme="minorHAnsi"/>
          <w:sz w:val="24"/>
          <w:szCs w:val="24"/>
          <w:lang w:val="en-US"/>
        </w:rPr>
        <w:t>Isabelle Schulte-</w:t>
      </w:r>
      <w:proofErr w:type="spellStart"/>
      <w:r>
        <w:rPr>
          <w:rFonts w:cstheme="minorHAnsi"/>
          <w:sz w:val="24"/>
          <w:szCs w:val="24"/>
          <w:lang w:val="en-US"/>
        </w:rPr>
        <w:t>Tenckhoff</w:t>
      </w:r>
      <w:proofErr w:type="spellEnd"/>
      <w:r>
        <w:rPr>
          <w:rFonts w:cstheme="minorHAnsi"/>
          <w:sz w:val="24"/>
          <w:szCs w:val="24"/>
          <w:lang w:val="en-US"/>
        </w:rPr>
        <w:t xml:space="preserve">, “Treaties, Peoplehood, and self-determination: understanding the language of indigenous rights” in </w:t>
      </w:r>
      <w:r>
        <w:rPr>
          <w:rFonts w:cstheme="minorHAnsi"/>
          <w:i/>
          <w:sz w:val="24"/>
          <w:szCs w:val="24"/>
          <w:lang w:val="en-US"/>
        </w:rPr>
        <w:t xml:space="preserve">Indigenous Rights in the Age of the UN Declaration, </w:t>
      </w:r>
      <w:r>
        <w:rPr>
          <w:rFonts w:cstheme="minorHAnsi"/>
          <w:sz w:val="24"/>
          <w:szCs w:val="24"/>
          <w:lang w:val="en-US"/>
        </w:rPr>
        <w:t xml:space="preserve">Elvira </w:t>
      </w:r>
      <w:proofErr w:type="spellStart"/>
      <w:r>
        <w:rPr>
          <w:rFonts w:cstheme="minorHAnsi"/>
          <w:sz w:val="24"/>
          <w:szCs w:val="24"/>
          <w:lang w:val="en-US"/>
        </w:rPr>
        <w:t>Pulitano</w:t>
      </w:r>
      <w:proofErr w:type="spellEnd"/>
      <w:r>
        <w:rPr>
          <w:rFonts w:cstheme="minorHAnsi"/>
          <w:sz w:val="24"/>
          <w:szCs w:val="24"/>
          <w:lang w:val="en-US"/>
        </w:rPr>
        <w:t>, ed. (Cambridge UP, 2014) (distributed by the instructor).</w:t>
      </w:r>
    </w:p>
    <w:p w:rsidR="00A0181D" w:rsidRPr="00BE6174" w:rsidRDefault="00A0181D" w:rsidP="00A0181D">
      <w:pPr>
        <w:pStyle w:val="ListParagraph"/>
        <w:numPr>
          <w:ilvl w:val="0"/>
          <w:numId w:val="21"/>
        </w:numPr>
        <w:spacing w:after="0" w:line="240" w:lineRule="auto"/>
        <w:rPr>
          <w:rFonts w:cstheme="minorHAnsi"/>
          <w:sz w:val="24"/>
          <w:szCs w:val="24"/>
          <w:lang w:val="en-US"/>
        </w:rPr>
      </w:pPr>
      <w:r w:rsidRPr="00BE6174">
        <w:rPr>
          <w:rFonts w:cstheme="minorHAnsi"/>
          <w:sz w:val="24"/>
          <w:szCs w:val="24"/>
          <w:lang w:val="en-US"/>
        </w:rPr>
        <w:t xml:space="preserve">Overview of Indigenous rights in the ILO available </w:t>
      </w:r>
      <w:hyperlink r:id="rId16" w:history="1">
        <w:r w:rsidRPr="00BE6174">
          <w:rPr>
            <w:rStyle w:val="Hyperlink"/>
            <w:rFonts w:cstheme="minorHAnsi"/>
            <w:sz w:val="24"/>
            <w:szCs w:val="24"/>
            <w:lang w:val="en-US"/>
          </w:rPr>
          <w:t>here</w:t>
        </w:r>
      </w:hyperlink>
      <w:r w:rsidRPr="00BE6174">
        <w:rPr>
          <w:rFonts w:cstheme="minorHAnsi"/>
          <w:sz w:val="24"/>
          <w:szCs w:val="24"/>
          <w:lang w:val="en-US"/>
        </w:rPr>
        <w:t xml:space="preserve">: </w:t>
      </w:r>
    </w:p>
    <w:p w:rsidR="00A0181D" w:rsidRPr="00A0181D" w:rsidRDefault="00A0181D" w:rsidP="00A0181D">
      <w:pPr>
        <w:pStyle w:val="ListParagraph"/>
        <w:numPr>
          <w:ilvl w:val="0"/>
          <w:numId w:val="21"/>
        </w:numPr>
        <w:spacing w:after="0" w:line="240" w:lineRule="auto"/>
        <w:rPr>
          <w:rFonts w:cstheme="minorHAnsi"/>
          <w:sz w:val="24"/>
          <w:szCs w:val="24"/>
          <w:lang w:val="en-US"/>
        </w:rPr>
      </w:pPr>
      <w:r w:rsidRPr="00BE6174">
        <w:rPr>
          <w:rFonts w:cstheme="minorHAnsi"/>
          <w:sz w:val="24"/>
          <w:szCs w:val="24"/>
          <w:lang w:val="en-US"/>
        </w:rPr>
        <w:t>Overview of indigenous</w:t>
      </w:r>
      <w:r>
        <w:rPr>
          <w:rFonts w:cstheme="minorHAnsi"/>
          <w:sz w:val="24"/>
          <w:szCs w:val="24"/>
          <w:lang w:val="en-US"/>
        </w:rPr>
        <w:t xml:space="preserve"> peoples’</w:t>
      </w:r>
      <w:r w:rsidRPr="00BE6174">
        <w:rPr>
          <w:rFonts w:cstheme="minorHAnsi"/>
          <w:sz w:val="24"/>
          <w:szCs w:val="24"/>
          <w:lang w:val="en-US"/>
        </w:rPr>
        <w:t xml:space="preserve"> rights at the UN available </w:t>
      </w:r>
      <w:hyperlink r:id="rId17" w:history="1">
        <w:r w:rsidRPr="00BE6174">
          <w:rPr>
            <w:rStyle w:val="Hyperlink"/>
            <w:rFonts w:cstheme="minorHAnsi"/>
            <w:sz w:val="24"/>
            <w:szCs w:val="24"/>
            <w:lang w:val="en-US"/>
          </w:rPr>
          <w:t>here</w:t>
        </w:r>
      </w:hyperlink>
      <w:r w:rsidRPr="00BE6174">
        <w:rPr>
          <w:rFonts w:cstheme="minorHAnsi"/>
          <w:sz w:val="24"/>
          <w:szCs w:val="24"/>
          <w:lang w:val="en-US"/>
        </w:rPr>
        <w:t xml:space="preserve">: </w:t>
      </w:r>
    </w:p>
    <w:p w:rsidR="009F479A" w:rsidRDefault="009F479A" w:rsidP="00005B65">
      <w:pPr>
        <w:spacing w:after="0" w:line="240" w:lineRule="auto"/>
        <w:rPr>
          <w:rFonts w:cstheme="minorHAnsi"/>
          <w:b/>
          <w:sz w:val="24"/>
          <w:szCs w:val="24"/>
          <w:lang w:val="en-US"/>
        </w:rPr>
      </w:pPr>
    </w:p>
    <w:p w:rsidR="009F479A" w:rsidRPr="00BE6174" w:rsidRDefault="009F479A" w:rsidP="009F479A">
      <w:pPr>
        <w:snapToGrid w:val="0"/>
        <w:spacing w:after="0" w:line="240" w:lineRule="auto"/>
        <w:rPr>
          <w:rFonts w:cstheme="minorHAnsi"/>
          <w:b/>
          <w:bCs/>
          <w:color w:val="000000" w:themeColor="text1"/>
          <w:sz w:val="24"/>
          <w:szCs w:val="24"/>
          <w:lang w:val="en-US"/>
        </w:rPr>
      </w:pPr>
      <w:r w:rsidRPr="00BE6174">
        <w:rPr>
          <w:rFonts w:cstheme="minorHAnsi"/>
          <w:b/>
          <w:bCs/>
          <w:color w:val="000000" w:themeColor="text1"/>
          <w:sz w:val="24"/>
          <w:szCs w:val="24"/>
          <w:lang w:val="en-US"/>
        </w:rPr>
        <w:t>Further Reading:</w:t>
      </w:r>
    </w:p>
    <w:p w:rsidR="009F479A" w:rsidRPr="00BE6174" w:rsidRDefault="009F479A" w:rsidP="009F479A">
      <w:pPr>
        <w:pStyle w:val="ListParagraph"/>
        <w:numPr>
          <w:ilvl w:val="0"/>
          <w:numId w:val="13"/>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Dunbar-Ortiz, et al, </w:t>
      </w:r>
      <w:hyperlink r:id="rId18" w:history="1">
        <w:r w:rsidRPr="00BE6174">
          <w:rPr>
            <w:rStyle w:val="Hyperlink"/>
            <w:rFonts w:cstheme="minorHAnsi"/>
            <w:i/>
            <w:iCs/>
            <w:color w:val="000000" w:themeColor="text1"/>
            <w:sz w:val="24"/>
            <w:szCs w:val="24"/>
            <w:lang w:val="en-US"/>
          </w:rPr>
          <w:t xml:space="preserve">Indigenous Peoples’ Rights in International Law: Emergence and Application: A book in honor of </w:t>
        </w:r>
        <w:proofErr w:type="spellStart"/>
        <w:r w:rsidRPr="00BE6174">
          <w:rPr>
            <w:rStyle w:val="Hyperlink"/>
            <w:rFonts w:cstheme="minorHAnsi"/>
            <w:i/>
            <w:iCs/>
            <w:color w:val="000000" w:themeColor="text1"/>
            <w:sz w:val="24"/>
            <w:szCs w:val="24"/>
            <w:lang w:val="en-US"/>
          </w:rPr>
          <w:t>Asbjørn</w:t>
        </w:r>
        <w:proofErr w:type="spellEnd"/>
        <w:r w:rsidRPr="00BE6174">
          <w:rPr>
            <w:rStyle w:val="Hyperlink"/>
            <w:rFonts w:cstheme="minorHAnsi"/>
            <w:i/>
            <w:iCs/>
            <w:color w:val="000000" w:themeColor="text1"/>
            <w:sz w:val="24"/>
            <w:szCs w:val="24"/>
            <w:lang w:val="en-US"/>
          </w:rPr>
          <w:t xml:space="preserve"> </w:t>
        </w:r>
        <w:proofErr w:type="spellStart"/>
        <w:r w:rsidRPr="00BE6174">
          <w:rPr>
            <w:rStyle w:val="Hyperlink"/>
            <w:rFonts w:cstheme="minorHAnsi"/>
            <w:i/>
            <w:iCs/>
            <w:color w:val="000000" w:themeColor="text1"/>
            <w:sz w:val="24"/>
            <w:szCs w:val="24"/>
            <w:lang w:val="en-US"/>
          </w:rPr>
          <w:t>Eide</w:t>
        </w:r>
        <w:proofErr w:type="spellEnd"/>
        <w:r w:rsidRPr="00BE6174">
          <w:rPr>
            <w:rStyle w:val="Hyperlink"/>
            <w:rFonts w:cstheme="minorHAnsi"/>
            <w:i/>
            <w:iCs/>
            <w:color w:val="000000" w:themeColor="text1"/>
            <w:sz w:val="24"/>
            <w:szCs w:val="24"/>
            <w:lang w:val="en-US"/>
          </w:rPr>
          <w:t xml:space="preserve"> at eighty</w:t>
        </w:r>
      </w:hyperlink>
      <w:r w:rsidRPr="00BE6174">
        <w:rPr>
          <w:rFonts w:cstheme="minorHAnsi"/>
          <w:i/>
          <w:iCs/>
          <w:color w:val="000000" w:themeColor="text1"/>
          <w:sz w:val="24"/>
          <w:szCs w:val="24"/>
          <w:lang w:val="en-US"/>
        </w:rPr>
        <w:t xml:space="preserve">, </w:t>
      </w:r>
      <w:r w:rsidRPr="00BE6174">
        <w:rPr>
          <w:rFonts w:cstheme="minorHAnsi"/>
          <w:color w:val="000000" w:themeColor="text1"/>
          <w:sz w:val="24"/>
          <w:szCs w:val="24"/>
          <w:lang w:val="en-US"/>
        </w:rPr>
        <w:t>2015</w:t>
      </w:r>
      <w:r w:rsidRPr="00BE6174">
        <w:rPr>
          <w:rFonts w:eastAsia="Calibri" w:cstheme="minorHAnsi"/>
          <w:bCs/>
          <w:color w:val="000000"/>
          <w:sz w:val="24"/>
          <w:szCs w:val="24"/>
          <w:lang w:val="en-US"/>
        </w:rPr>
        <w:tab/>
      </w:r>
    </w:p>
    <w:p w:rsidR="00A0181D" w:rsidRDefault="00A0181D" w:rsidP="00005B65">
      <w:pPr>
        <w:spacing w:after="0" w:line="240" w:lineRule="auto"/>
        <w:rPr>
          <w:rFonts w:cstheme="minorHAnsi"/>
          <w:b/>
          <w:color w:val="FF0000"/>
          <w:sz w:val="24"/>
          <w:szCs w:val="24"/>
          <w:lang w:val="en-US"/>
        </w:rPr>
      </w:pPr>
    </w:p>
    <w:p w:rsidR="00005B65" w:rsidRPr="00BE6174" w:rsidRDefault="00005B65" w:rsidP="00005B65">
      <w:pPr>
        <w:spacing w:after="0" w:line="240" w:lineRule="auto"/>
        <w:rPr>
          <w:rFonts w:cstheme="minorHAnsi"/>
          <w:b/>
          <w:color w:val="FF0000"/>
          <w:sz w:val="24"/>
          <w:szCs w:val="24"/>
          <w:lang w:val="en-US"/>
        </w:rPr>
      </w:pPr>
      <w:r w:rsidRPr="00BE6174">
        <w:rPr>
          <w:rFonts w:cstheme="minorHAnsi"/>
          <w:b/>
          <w:color w:val="FF0000"/>
          <w:sz w:val="24"/>
          <w:szCs w:val="24"/>
          <w:lang w:val="en-US"/>
        </w:rPr>
        <w:lastRenderedPageBreak/>
        <w:t>11</w:t>
      </w:r>
      <w:r w:rsidRPr="00BE6174">
        <w:rPr>
          <w:rFonts w:cstheme="minorHAnsi"/>
          <w:b/>
          <w:color w:val="FF0000"/>
          <w:sz w:val="24"/>
          <w:szCs w:val="24"/>
          <w:vertAlign w:val="superscript"/>
          <w:lang w:val="en-US"/>
        </w:rPr>
        <w:t>th</w:t>
      </w:r>
      <w:r w:rsidR="00BE6174">
        <w:rPr>
          <w:rFonts w:cstheme="minorHAnsi"/>
          <w:b/>
          <w:color w:val="FF0000"/>
          <w:sz w:val="24"/>
          <w:szCs w:val="24"/>
          <w:lang w:val="en-US"/>
        </w:rPr>
        <w:t>-12</w:t>
      </w:r>
      <w:r w:rsidR="00BE6174" w:rsidRPr="00BE6174">
        <w:rPr>
          <w:rFonts w:cstheme="minorHAnsi"/>
          <w:b/>
          <w:color w:val="FF0000"/>
          <w:sz w:val="24"/>
          <w:szCs w:val="24"/>
          <w:vertAlign w:val="superscript"/>
          <w:lang w:val="en-US"/>
        </w:rPr>
        <w:t>th</w:t>
      </w:r>
      <w:r w:rsidR="00BE6174">
        <w:rPr>
          <w:rFonts w:cstheme="minorHAnsi"/>
          <w:b/>
          <w:color w:val="FF0000"/>
          <w:sz w:val="24"/>
          <w:szCs w:val="24"/>
          <w:lang w:val="en-US"/>
        </w:rPr>
        <w:t xml:space="preserve"> </w:t>
      </w:r>
      <w:r w:rsidRPr="00BE6174">
        <w:rPr>
          <w:rFonts w:cstheme="minorHAnsi"/>
          <w:b/>
          <w:color w:val="FF0000"/>
          <w:sz w:val="24"/>
          <w:szCs w:val="24"/>
          <w:lang w:val="en-US"/>
        </w:rPr>
        <w:t>October: The Core UN Human Rights Treaties</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The international Bill of Rights</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Distinguishing “generations” of rights</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Criticisms of the “generations” approach</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Hierarchy of human rights norms</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Treaty interpretation</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ICCPR</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ICESCR</w:t>
      </w:r>
    </w:p>
    <w:p w:rsidR="00005B65" w:rsidRPr="00BE6174" w:rsidRDefault="00005B65" w:rsidP="00005B65">
      <w:pPr>
        <w:numPr>
          <w:ilvl w:val="0"/>
          <w:numId w:val="5"/>
        </w:numPr>
        <w:snapToGrid w:val="0"/>
        <w:spacing w:after="0" w:line="240" w:lineRule="auto"/>
        <w:ind w:left="228" w:hanging="141"/>
        <w:rPr>
          <w:rFonts w:cstheme="minorHAnsi"/>
          <w:color w:val="000000" w:themeColor="text1"/>
          <w:sz w:val="24"/>
          <w:szCs w:val="24"/>
          <w:lang w:val="en-US"/>
        </w:rPr>
      </w:pPr>
      <w:r w:rsidRPr="00BE6174">
        <w:rPr>
          <w:rFonts w:cstheme="minorHAnsi"/>
          <w:color w:val="000000" w:themeColor="text1"/>
          <w:sz w:val="24"/>
          <w:szCs w:val="24"/>
          <w:lang w:val="en-US"/>
        </w:rPr>
        <w:t>CAT and customary law against torture</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Why special treaties for particular groups?</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The right to self-determination</w:t>
      </w:r>
    </w:p>
    <w:p w:rsidR="00005B65" w:rsidRPr="00BE6174" w:rsidRDefault="00005B65" w:rsidP="00005B65">
      <w:pPr>
        <w:pStyle w:val="ListParagraph"/>
        <w:numPr>
          <w:ilvl w:val="0"/>
          <w:numId w:val="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Reservations</w:t>
      </w:r>
    </w:p>
    <w:p w:rsidR="00005B65" w:rsidRPr="00BE6174" w:rsidRDefault="00005B65" w:rsidP="00005B65">
      <w:pPr>
        <w:pStyle w:val="ListParagraph"/>
        <w:snapToGrid w:val="0"/>
        <w:spacing w:after="0" w:line="240" w:lineRule="auto"/>
        <w:ind w:left="0"/>
        <w:contextualSpacing w:val="0"/>
        <w:rPr>
          <w:rFonts w:cstheme="minorHAnsi"/>
          <w:b/>
          <w:color w:val="000000" w:themeColor="text1"/>
          <w:sz w:val="24"/>
          <w:szCs w:val="24"/>
          <w:lang w:val="en-US"/>
        </w:rPr>
      </w:pPr>
    </w:p>
    <w:p w:rsidR="00005B65" w:rsidRPr="00BE6174" w:rsidRDefault="00005B65" w:rsidP="00005B65">
      <w:pPr>
        <w:pStyle w:val="ListParagraph"/>
        <w:snapToGrid w:val="0"/>
        <w:spacing w:after="0" w:line="240" w:lineRule="auto"/>
        <w:ind w:left="0"/>
        <w:contextualSpacing w:val="0"/>
        <w:rPr>
          <w:rFonts w:cstheme="minorHAnsi"/>
          <w:b/>
          <w:color w:val="000000" w:themeColor="text1"/>
          <w:sz w:val="24"/>
          <w:szCs w:val="24"/>
          <w:lang w:val="en-US"/>
        </w:rPr>
      </w:pPr>
      <w:r w:rsidRPr="00BE6174">
        <w:rPr>
          <w:rFonts w:cstheme="minorHAnsi"/>
          <w:b/>
          <w:color w:val="000000" w:themeColor="text1"/>
          <w:sz w:val="24"/>
          <w:szCs w:val="24"/>
          <w:lang w:val="en-US"/>
        </w:rPr>
        <w:t>Essential Reading:</w:t>
      </w:r>
    </w:p>
    <w:p w:rsidR="00005B65" w:rsidRPr="00BE6174" w:rsidRDefault="00005B65" w:rsidP="00005B65">
      <w:pPr>
        <w:numPr>
          <w:ilvl w:val="0"/>
          <w:numId w:val="6"/>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Smith, Chapters 4; 11-15, 19-20, and 22</w:t>
      </w:r>
    </w:p>
    <w:p w:rsidR="00005B65" w:rsidRPr="00BE6174" w:rsidRDefault="00005B65" w:rsidP="00005B65">
      <w:pPr>
        <w:numPr>
          <w:ilvl w:val="0"/>
          <w:numId w:val="6"/>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ICCPR</w:t>
      </w:r>
    </w:p>
    <w:p w:rsidR="00005B65" w:rsidRPr="00BE6174" w:rsidRDefault="00005B65" w:rsidP="00005B65">
      <w:pPr>
        <w:numPr>
          <w:ilvl w:val="0"/>
          <w:numId w:val="6"/>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ICESCR</w:t>
      </w:r>
    </w:p>
    <w:p w:rsidR="00005B65" w:rsidRPr="00BE6174" w:rsidRDefault="00005B65" w:rsidP="00005B65">
      <w:pPr>
        <w:numPr>
          <w:ilvl w:val="0"/>
          <w:numId w:val="6"/>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CERD</w:t>
      </w:r>
    </w:p>
    <w:p w:rsidR="00005B65" w:rsidRPr="00BE6174" w:rsidRDefault="00005B65" w:rsidP="00005B65">
      <w:pPr>
        <w:numPr>
          <w:ilvl w:val="0"/>
          <w:numId w:val="6"/>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CEDAW</w:t>
      </w:r>
    </w:p>
    <w:p w:rsidR="00005B65" w:rsidRPr="00BE6174" w:rsidRDefault="00005B65" w:rsidP="00005B65">
      <w:pPr>
        <w:numPr>
          <w:ilvl w:val="0"/>
          <w:numId w:val="6"/>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CAT</w:t>
      </w:r>
    </w:p>
    <w:p w:rsidR="00005B65" w:rsidRPr="00BE6174" w:rsidRDefault="00B75DEA" w:rsidP="00005B65">
      <w:pPr>
        <w:numPr>
          <w:ilvl w:val="0"/>
          <w:numId w:val="6"/>
        </w:numPr>
        <w:snapToGrid w:val="0"/>
        <w:spacing w:after="0" w:line="240" w:lineRule="auto"/>
        <w:rPr>
          <w:rFonts w:cstheme="minorHAnsi"/>
          <w:color w:val="000000" w:themeColor="text1"/>
          <w:sz w:val="24"/>
          <w:szCs w:val="24"/>
          <w:lang w:val="en-US"/>
        </w:rPr>
      </w:pPr>
      <w:hyperlink r:id="rId19" w:history="1">
        <w:r w:rsidR="00005B65" w:rsidRPr="00BE6174">
          <w:rPr>
            <w:rStyle w:val="Hyperlink"/>
            <w:rFonts w:cstheme="minorHAnsi"/>
            <w:sz w:val="24"/>
            <w:szCs w:val="24"/>
            <w:lang w:val="en-US"/>
          </w:rPr>
          <w:t>CESCR General Comment No. 3 (1990)</w:t>
        </w:r>
      </w:hyperlink>
    </w:p>
    <w:p w:rsidR="00005B65" w:rsidRPr="00BE6174" w:rsidRDefault="00B75DEA" w:rsidP="00005B65">
      <w:pPr>
        <w:numPr>
          <w:ilvl w:val="0"/>
          <w:numId w:val="6"/>
        </w:numPr>
        <w:snapToGrid w:val="0"/>
        <w:spacing w:after="0" w:line="240" w:lineRule="auto"/>
        <w:rPr>
          <w:rFonts w:cstheme="minorHAnsi"/>
          <w:color w:val="000000" w:themeColor="text1"/>
          <w:sz w:val="24"/>
          <w:szCs w:val="24"/>
          <w:lang w:val="en-US"/>
        </w:rPr>
      </w:pPr>
      <w:hyperlink r:id="rId20" w:history="1">
        <w:r w:rsidR="00005B65" w:rsidRPr="00BE6174">
          <w:rPr>
            <w:rStyle w:val="Hyperlink"/>
            <w:rFonts w:cstheme="minorHAnsi"/>
            <w:sz w:val="24"/>
            <w:szCs w:val="24"/>
            <w:lang w:val="en-US"/>
          </w:rPr>
          <w:t xml:space="preserve">Human Rights Committee General Comment 12 (1984). </w:t>
        </w:r>
      </w:hyperlink>
      <w:r w:rsidR="00005B65" w:rsidRPr="00BE6174">
        <w:rPr>
          <w:rFonts w:cstheme="minorHAnsi"/>
          <w:color w:val="000000" w:themeColor="text1"/>
          <w:sz w:val="24"/>
          <w:szCs w:val="24"/>
          <w:lang w:val="en-US"/>
        </w:rPr>
        <w:t xml:space="preserve"> </w:t>
      </w:r>
    </w:p>
    <w:p w:rsidR="00005B65" w:rsidRPr="00BE6174" w:rsidRDefault="00005B65" w:rsidP="00005B65">
      <w:pPr>
        <w:snapToGrid w:val="0"/>
        <w:spacing w:after="0" w:line="240" w:lineRule="auto"/>
        <w:rPr>
          <w:rFonts w:cstheme="minorHAnsi"/>
          <w:b/>
          <w:color w:val="000000" w:themeColor="text1"/>
          <w:sz w:val="24"/>
          <w:szCs w:val="24"/>
          <w:lang w:val="en-US"/>
        </w:rPr>
      </w:pPr>
    </w:p>
    <w:p w:rsidR="00005B65" w:rsidRPr="00BE6174" w:rsidRDefault="00005B65" w:rsidP="00005B65">
      <w:pPr>
        <w:snapToGrid w:val="0"/>
        <w:spacing w:after="0" w:line="240" w:lineRule="auto"/>
        <w:rPr>
          <w:rFonts w:cstheme="minorHAnsi"/>
          <w:b/>
          <w:color w:val="000000" w:themeColor="text1"/>
          <w:sz w:val="24"/>
          <w:szCs w:val="24"/>
          <w:lang w:val="en-US"/>
        </w:rPr>
      </w:pPr>
      <w:r w:rsidRPr="00BE6174">
        <w:rPr>
          <w:rFonts w:cstheme="minorHAnsi"/>
          <w:b/>
          <w:color w:val="000000" w:themeColor="text1"/>
          <w:sz w:val="24"/>
          <w:szCs w:val="24"/>
          <w:lang w:val="en-US"/>
        </w:rPr>
        <w:t>Further Reading:</w:t>
      </w:r>
    </w:p>
    <w:p w:rsidR="00005B65" w:rsidRPr="00BE6174" w:rsidRDefault="00005B65" w:rsidP="00005B65">
      <w:pPr>
        <w:numPr>
          <w:ilvl w:val="0"/>
          <w:numId w:val="7"/>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Smith, Ch. 16-18, 21</w:t>
      </w:r>
      <w:r w:rsidRPr="00BE6174">
        <w:rPr>
          <w:rFonts w:cstheme="minorHAnsi"/>
          <w:color w:val="FF0000"/>
          <w:sz w:val="24"/>
          <w:szCs w:val="24"/>
          <w:lang w:val="en-US"/>
        </w:rPr>
        <w:t>.</w:t>
      </w:r>
      <w:r w:rsidRPr="00BE6174">
        <w:rPr>
          <w:rFonts w:cstheme="minorHAnsi"/>
          <w:color w:val="000000" w:themeColor="text1"/>
          <w:sz w:val="24"/>
          <w:szCs w:val="24"/>
          <w:lang w:val="en-US"/>
        </w:rPr>
        <w:t xml:space="preserve"> </w:t>
      </w:r>
    </w:p>
    <w:p w:rsidR="00005B65" w:rsidRPr="00BE6174" w:rsidRDefault="00005B65" w:rsidP="00005B65">
      <w:pPr>
        <w:numPr>
          <w:ilvl w:val="0"/>
          <w:numId w:val="7"/>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CMW</w:t>
      </w:r>
    </w:p>
    <w:p w:rsidR="00005B65" w:rsidRPr="00BE6174" w:rsidRDefault="00005B65" w:rsidP="00005B65">
      <w:pPr>
        <w:numPr>
          <w:ilvl w:val="0"/>
          <w:numId w:val="7"/>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CRC</w:t>
      </w:r>
    </w:p>
    <w:p w:rsidR="00005B65" w:rsidRPr="00BE6174" w:rsidRDefault="00005B65" w:rsidP="00005B65">
      <w:pPr>
        <w:numPr>
          <w:ilvl w:val="0"/>
          <w:numId w:val="7"/>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CRC-OP-AC</w:t>
      </w:r>
    </w:p>
    <w:p w:rsidR="00005B65" w:rsidRPr="00BE6174" w:rsidRDefault="00005B65" w:rsidP="00005B65">
      <w:pPr>
        <w:numPr>
          <w:ilvl w:val="0"/>
          <w:numId w:val="7"/>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CRC-OP-SC</w:t>
      </w:r>
    </w:p>
    <w:p w:rsidR="00005B65" w:rsidRPr="00BE6174" w:rsidRDefault="00005B65" w:rsidP="00005B65">
      <w:pPr>
        <w:numPr>
          <w:ilvl w:val="0"/>
          <w:numId w:val="7"/>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CRPD</w:t>
      </w:r>
    </w:p>
    <w:p w:rsidR="00005B65" w:rsidRPr="00BE6174" w:rsidRDefault="00B75DEA" w:rsidP="00005B65">
      <w:pPr>
        <w:numPr>
          <w:ilvl w:val="0"/>
          <w:numId w:val="7"/>
        </w:numPr>
        <w:snapToGrid w:val="0"/>
        <w:spacing w:after="0" w:line="240" w:lineRule="auto"/>
        <w:rPr>
          <w:rFonts w:cstheme="minorHAnsi"/>
          <w:color w:val="000000" w:themeColor="text1"/>
          <w:sz w:val="24"/>
          <w:szCs w:val="24"/>
          <w:lang w:val="en-US"/>
        </w:rPr>
      </w:pPr>
      <w:hyperlink r:id="rId21" w:history="1">
        <w:r w:rsidR="00005B65" w:rsidRPr="00BE6174">
          <w:rPr>
            <w:rStyle w:val="Hyperlink"/>
            <w:rFonts w:cstheme="minorHAnsi"/>
            <w:sz w:val="24"/>
            <w:szCs w:val="24"/>
            <w:lang w:val="en-US"/>
          </w:rPr>
          <w:t>CESCR General Comment No. 20</w:t>
        </w:r>
      </w:hyperlink>
      <w:r w:rsidR="00005B65" w:rsidRPr="00BE6174">
        <w:rPr>
          <w:rFonts w:cstheme="minorHAnsi"/>
          <w:color w:val="000000" w:themeColor="text1"/>
          <w:sz w:val="24"/>
          <w:szCs w:val="24"/>
          <w:lang w:val="en-US"/>
        </w:rPr>
        <w:t xml:space="preserve"> (2009)</w:t>
      </w:r>
      <w:r w:rsidR="00005B65" w:rsidRPr="00BE6174">
        <w:rPr>
          <w:rFonts w:cstheme="minorHAnsi"/>
          <w:sz w:val="24"/>
          <w:szCs w:val="24"/>
          <w:lang w:val="en-US"/>
        </w:rPr>
        <w:t xml:space="preserve"> </w:t>
      </w:r>
    </w:p>
    <w:p w:rsidR="00005B65" w:rsidRPr="00BE6174" w:rsidRDefault="00005B65" w:rsidP="00005B65">
      <w:pPr>
        <w:numPr>
          <w:ilvl w:val="0"/>
          <w:numId w:val="7"/>
        </w:numPr>
        <w:snapToGrid w:val="0"/>
        <w:spacing w:after="0" w:line="240" w:lineRule="auto"/>
        <w:rPr>
          <w:rFonts w:cstheme="minorHAnsi"/>
          <w:color w:val="000000" w:themeColor="text1"/>
          <w:sz w:val="24"/>
          <w:szCs w:val="24"/>
          <w:lang w:val="en-US"/>
        </w:rPr>
      </w:pPr>
      <w:r w:rsidRPr="00BE6174">
        <w:rPr>
          <w:rFonts w:cstheme="minorHAnsi"/>
          <w:bCs/>
          <w:i/>
          <w:color w:val="000000" w:themeColor="text1"/>
          <w:sz w:val="24"/>
          <w:szCs w:val="24"/>
          <w:lang w:val="en-US" w:bidi="en-US"/>
        </w:rPr>
        <w:t>East Timor (Portugal v Australia)</w:t>
      </w:r>
      <w:r w:rsidRPr="00BE6174">
        <w:rPr>
          <w:rFonts w:cstheme="minorHAnsi"/>
          <w:bCs/>
          <w:color w:val="000000" w:themeColor="text1"/>
          <w:sz w:val="24"/>
          <w:szCs w:val="24"/>
          <w:lang w:val="en-US" w:bidi="en-US"/>
        </w:rPr>
        <w:t xml:space="preserve"> [1995] ICJ Rep 90.</w:t>
      </w:r>
    </w:p>
    <w:p w:rsidR="00005B65" w:rsidRPr="00BE6174" w:rsidRDefault="00005B65" w:rsidP="00005B65">
      <w:pPr>
        <w:numPr>
          <w:ilvl w:val="0"/>
          <w:numId w:val="7"/>
        </w:numPr>
        <w:snapToGrid w:val="0"/>
        <w:spacing w:after="0" w:line="240" w:lineRule="auto"/>
        <w:rPr>
          <w:rFonts w:cstheme="minorHAnsi"/>
          <w:color w:val="000000" w:themeColor="text1"/>
          <w:sz w:val="24"/>
          <w:szCs w:val="24"/>
          <w:lang w:val="en-US"/>
        </w:rPr>
      </w:pPr>
      <w:r w:rsidRPr="00BE6174">
        <w:rPr>
          <w:rFonts w:cstheme="minorHAnsi"/>
          <w:bCs/>
          <w:iCs/>
          <w:color w:val="000000" w:themeColor="text1"/>
          <w:sz w:val="24"/>
          <w:szCs w:val="24"/>
          <w:lang w:val="en-US" w:bidi="en-US"/>
        </w:rPr>
        <w:t xml:space="preserve">Johnstone: </w:t>
      </w:r>
      <w:r w:rsidRPr="00BE6174">
        <w:rPr>
          <w:rFonts w:cstheme="minorHAnsi"/>
          <w:bCs/>
          <w:i/>
          <w:color w:val="000000" w:themeColor="text1"/>
          <w:sz w:val="24"/>
          <w:szCs w:val="24"/>
          <w:lang w:val="en-US" w:bidi="en-US"/>
        </w:rPr>
        <w:t xml:space="preserve">East Timor </w:t>
      </w:r>
      <w:r w:rsidRPr="00BE6174">
        <w:rPr>
          <w:rFonts w:cstheme="minorHAnsi"/>
          <w:bCs/>
          <w:iCs/>
          <w:color w:val="000000" w:themeColor="text1"/>
          <w:sz w:val="24"/>
          <w:szCs w:val="24"/>
          <w:lang w:val="en-US" w:bidi="en-US"/>
        </w:rPr>
        <w:t>case comment (distributed by the instructor)</w:t>
      </w:r>
    </w:p>
    <w:p w:rsidR="00005B65" w:rsidRPr="00BE6174" w:rsidRDefault="00005B65" w:rsidP="00005B65">
      <w:pPr>
        <w:spacing w:after="0" w:line="240" w:lineRule="auto"/>
        <w:rPr>
          <w:rFonts w:cstheme="minorHAnsi"/>
          <w:b/>
          <w:sz w:val="24"/>
          <w:szCs w:val="24"/>
          <w:lang w:val="en-US"/>
        </w:rPr>
      </w:pPr>
    </w:p>
    <w:p w:rsidR="00005B65" w:rsidRPr="00BE6174" w:rsidRDefault="00005B65" w:rsidP="00005B65">
      <w:pPr>
        <w:spacing w:after="0" w:line="240" w:lineRule="auto"/>
        <w:rPr>
          <w:rFonts w:cstheme="minorHAnsi"/>
          <w:sz w:val="24"/>
          <w:szCs w:val="24"/>
          <w:lang w:val="en-US"/>
        </w:rPr>
      </w:pPr>
    </w:p>
    <w:p w:rsidR="00005B65" w:rsidRPr="00BE6174" w:rsidRDefault="00005B65" w:rsidP="00005B65">
      <w:pPr>
        <w:spacing w:after="0" w:line="240" w:lineRule="auto"/>
        <w:rPr>
          <w:rFonts w:cstheme="minorHAnsi"/>
          <w:b/>
          <w:color w:val="FF0000"/>
          <w:sz w:val="24"/>
          <w:szCs w:val="24"/>
          <w:lang w:val="en-US"/>
        </w:rPr>
      </w:pPr>
      <w:r w:rsidRPr="00BE6174">
        <w:rPr>
          <w:rFonts w:cstheme="minorHAnsi"/>
          <w:b/>
          <w:color w:val="FF0000"/>
          <w:sz w:val="24"/>
          <w:szCs w:val="24"/>
          <w:lang w:val="en-US"/>
        </w:rPr>
        <w:t>15th October: The European Convention on Human Rights</w:t>
      </w:r>
    </w:p>
    <w:p w:rsidR="00005B65" w:rsidRPr="00BE6174" w:rsidRDefault="00B75DEA" w:rsidP="00005B65">
      <w:pPr>
        <w:pStyle w:val="ListParagraph"/>
        <w:numPr>
          <w:ilvl w:val="0"/>
          <w:numId w:val="14"/>
        </w:numPr>
        <w:snapToGrid w:val="0"/>
        <w:spacing w:after="0" w:line="240" w:lineRule="auto"/>
        <w:contextualSpacing w:val="0"/>
        <w:rPr>
          <w:rFonts w:cstheme="minorHAnsi"/>
          <w:color w:val="000000" w:themeColor="text1"/>
          <w:sz w:val="24"/>
          <w:szCs w:val="24"/>
          <w:lang w:val="en-US"/>
        </w:rPr>
      </w:pPr>
      <w:hyperlink r:id="rId22" w:history="1">
        <w:r w:rsidR="00005B65" w:rsidRPr="00BE6174">
          <w:rPr>
            <w:rStyle w:val="Hyperlink"/>
            <w:rFonts w:cstheme="minorHAnsi"/>
            <w:sz w:val="24"/>
            <w:szCs w:val="24"/>
            <w:lang w:val="en-US"/>
          </w:rPr>
          <w:t>The European Convention on Human Rights</w:t>
        </w:r>
      </w:hyperlink>
    </w:p>
    <w:p w:rsidR="00005B65" w:rsidRPr="00BE6174" w:rsidRDefault="00005B65" w:rsidP="00005B65">
      <w:pPr>
        <w:pStyle w:val="ListParagraph"/>
        <w:numPr>
          <w:ilvl w:val="0"/>
          <w:numId w:val="14"/>
        </w:numPr>
        <w:snapToGrid w:val="0"/>
        <w:spacing w:after="0" w:line="240" w:lineRule="auto"/>
        <w:contextualSpacing w:val="0"/>
        <w:rPr>
          <w:rFonts w:cstheme="minorHAnsi"/>
          <w:color w:val="000000" w:themeColor="text1"/>
          <w:sz w:val="24"/>
          <w:szCs w:val="24"/>
          <w:lang w:val="en-US"/>
        </w:rPr>
      </w:pPr>
      <w:r w:rsidRPr="00BE6174">
        <w:rPr>
          <w:rFonts w:cstheme="minorHAnsi"/>
          <w:color w:val="000000" w:themeColor="text1"/>
          <w:sz w:val="24"/>
          <w:szCs w:val="24"/>
          <w:lang w:val="en-US"/>
        </w:rPr>
        <w:t>Smith, Chapter 7</w:t>
      </w:r>
    </w:p>
    <w:p w:rsidR="00005B65" w:rsidRPr="00BE6174" w:rsidRDefault="00005B65" w:rsidP="00005B65">
      <w:pPr>
        <w:spacing w:after="0" w:line="240" w:lineRule="auto"/>
        <w:rPr>
          <w:rFonts w:cstheme="minorHAnsi"/>
          <w:sz w:val="24"/>
          <w:szCs w:val="24"/>
          <w:lang w:val="en-US"/>
        </w:rPr>
      </w:pPr>
    </w:p>
    <w:p w:rsidR="00005B65" w:rsidRPr="00BE6174" w:rsidRDefault="00005B65" w:rsidP="00005B65">
      <w:pPr>
        <w:spacing w:after="0" w:line="240" w:lineRule="auto"/>
        <w:rPr>
          <w:rFonts w:cstheme="minorHAnsi"/>
          <w:b/>
          <w:color w:val="FF0000"/>
          <w:sz w:val="24"/>
          <w:szCs w:val="24"/>
          <w:lang w:val="en-US"/>
        </w:rPr>
      </w:pPr>
      <w:r w:rsidRPr="00BE6174">
        <w:rPr>
          <w:rFonts w:cstheme="minorHAnsi"/>
          <w:b/>
          <w:color w:val="FF0000"/>
          <w:sz w:val="24"/>
          <w:szCs w:val="24"/>
          <w:lang w:val="en-US"/>
        </w:rPr>
        <w:t xml:space="preserve">5th November: Indigenous rights in context </w:t>
      </w:r>
    </w:p>
    <w:p w:rsidR="00005B65" w:rsidRPr="00BE6174" w:rsidRDefault="00005B65" w:rsidP="00005B65">
      <w:pPr>
        <w:pStyle w:val="ListParagraph"/>
        <w:numPr>
          <w:ilvl w:val="0"/>
          <w:numId w:val="11"/>
        </w:numPr>
        <w:snapToGrid w:val="0"/>
        <w:spacing w:after="0" w:line="240" w:lineRule="auto"/>
        <w:contextualSpacing w:val="0"/>
        <w:rPr>
          <w:rFonts w:cstheme="minorHAnsi"/>
          <w:sz w:val="24"/>
          <w:szCs w:val="24"/>
          <w:lang w:val="en-US"/>
        </w:rPr>
      </w:pPr>
      <w:r w:rsidRPr="00BE6174">
        <w:rPr>
          <w:rFonts w:cstheme="minorHAnsi"/>
          <w:sz w:val="24"/>
          <w:szCs w:val="24"/>
          <w:lang w:val="en-US"/>
        </w:rPr>
        <w:t>ILO Convention 169</w:t>
      </w:r>
    </w:p>
    <w:p w:rsidR="00005B65" w:rsidRPr="00BE6174" w:rsidRDefault="00005B65" w:rsidP="00005B65">
      <w:pPr>
        <w:pStyle w:val="ListParagraph"/>
        <w:numPr>
          <w:ilvl w:val="0"/>
          <w:numId w:val="11"/>
        </w:numPr>
        <w:snapToGrid w:val="0"/>
        <w:spacing w:after="0" w:line="240" w:lineRule="auto"/>
        <w:contextualSpacing w:val="0"/>
        <w:rPr>
          <w:rFonts w:cstheme="minorHAnsi"/>
          <w:sz w:val="24"/>
          <w:szCs w:val="24"/>
          <w:lang w:val="en-US"/>
        </w:rPr>
      </w:pPr>
      <w:r w:rsidRPr="00BE6174">
        <w:rPr>
          <w:rFonts w:cstheme="minorHAnsi"/>
          <w:sz w:val="24"/>
          <w:szCs w:val="24"/>
          <w:lang w:val="en-US"/>
        </w:rPr>
        <w:t>UNDRIP 2007</w:t>
      </w:r>
    </w:p>
    <w:p w:rsidR="00005B65" w:rsidRPr="00BE6174" w:rsidRDefault="00005B65" w:rsidP="00005B65">
      <w:pPr>
        <w:pStyle w:val="ListParagraph"/>
        <w:numPr>
          <w:ilvl w:val="0"/>
          <w:numId w:val="11"/>
        </w:numPr>
        <w:snapToGrid w:val="0"/>
        <w:spacing w:after="0" w:line="240" w:lineRule="auto"/>
        <w:contextualSpacing w:val="0"/>
        <w:rPr>
          <w:rFonts w:cstheme="minorHAnsi"/>
          <w:sz w:val="24"/>
          <w:szCs w:val="24"/>
          <w:lang w:val="en-US"/>
        </w:rPr>
      </w:pPr>
      <w:r w:rsidRPr="00BE6174">
        <w:rPr>
          <w:rFonts w:cstheme="minorHAnsi"/>
          <w:sz w:val="24"/>
          <w:szCs w:val="24"/>
          <w:lang w:val="en-US"/>
        </w:rPr>
        <w:t>The American Declaration on the Rights of Indigenous Peoples 2016</w:t>
      </w:r>
    </w:p>
    <w:p w:rsidR="00005B65" w:rsidRPr="00BE6174" w:rsidRDefault="00005B65" w:rsidP="00005B65">
      <w:pPr>
        <w:pStyle w:val="ListParagraph"/>
        <w:numPr>
          <w:ilvl w:val="0"/>
          <w:numId w:val="11"/>
        </w:numPr>
        <w:snapToGrid w:val="0"/>
        <w:spacing w:after="0" w:line="240" w:lineRule="auto"/>
        <w:contextualSpacing w:val="0"/>
        <w:rPr>
          <w:rFonts w:cstheme="minorHAnsi"/>
          <w:sz w:val="24"/>
          <w:szCs w:val="24"/>
          <w:lang w:val="en-US"/>
        </w:rPr>
      </w:pPr>
      <w:r w:rsidRPr="00BE6174">
        <w:rPr>
          <w:rFonts w:cstheme="minorHAnsi"/>
          <w:sz w:val="24"/>
          <w:szCs w:val="24"/>
          <w:lang w:val="en-US"/>
        </w:rPr>
        <w:t xml:space="preserve">Monitoring and Implementation of Indigenous Rights </w:t>
      </w:r>
    </w:p>
    <w:p w:rsidR="00005B65" w:rsidRPr="00BE6174" w:rsidRDefault="00005B65" w:rsidP="00005B65">
      <w:pPr>
        <w:pStyle w:val="ListParagraph"/>
        <w:numPr>
          <w:ilvl w:val="0"/>
          <w:numId w:val="11"/>
        </w:numPr>
        <w:snapToGrid w:val="0"/>
        <w:spacing w:after="0" w:line="240" w:lineRule="auto"/>
        <w:contextualSpacing w:val="0"/>
        <w:rPr>
          <w:rFonts w:cstheme="minorHAnsi"/>
          <w:sz w:val="24"/>
          <w:szCs w:val="24"/>
          <w:lang w:val="en-US"/>
        </w:rPr>
      </w:pPr>
      <w:r w:rsidRPr="00BE6174">
        <w:rPr>
          <w:rFonts w:cstheme="minorHAnsi"/>
          <w:sz w:val="24"/>
          <w:szCs w:val="24"/>
          <w:lang w:val="en-US"/>
        </w:rPr>
        <w:t>ICCPR Article 27 and jurisprudence</w:t>
      </w:r>
    </w:p>
    <w:p w:rsidR="00005B65" w:rsidRPr="00BE6174" w:rsidRDefault="00005B65" w:rsidP="00005B65">
      <w:pPr>
        <w:pStyle w:val="ListParagraph"/>
        <w:numPr>
          <w:ilvl w:val="0"/>
          <w:numId w:val="11"/>
        </w:numPr>
        <w:snapToGrid w:val="0"/>
        <w:spacing w:after="0" w:line="240" w:lineRule="auto"/>
        <w:contextualSpacing w:val="0"/>
        <w:rPr>
          <w:rFonts w:cstheme="minorHAnsi"/>
          <w:sz w:val="24"/>
          <w:szCs w:val="24"/>
          <w:lang w:val="en-US"/>
        </w:rPr>
      </w:pPr>
      <w:r w:rsidRPr="00BE6174">
        <w:rPr>
          <w:rFonts w:cstheme="minorHAnsi"/>
          <w:sz w:val="24"/>
          <w:szCs w:val="24"/>
          <w:lang w:val="en-US"/>
        </w:rPr>
        <w:t>Jurisprudence from the Regional Human Rights Courts</w:t>
      </w:r>
    </w:p>
    <w:p w:rsidR="00005B65" w:rsidRPr="00BE6174" w:rsidRDefault="00005B65" w:rsidP="00005B65">
      <w:pPr>
        <w:snapToGrid w:val="0"/>
        <w:spacing w:after="0" w:line="240" w:lineRule="auto"/>
        <w:rPr>
          <w:rFonts w:cstheme="minorHAnsi"/>
          <w:b/>
          <w:bCs/>
          <w:sz w:val="24"/>
          <w:szCs w:val="24"/>
          <w:lang w:val="en-US"/>
        </w:rPr>
      </w:pPr>
      <w:r w:rsidRPr="00BE6174">
        <w:rPr>
          <w:rFonts w:cstheme="minorHAnsi"/>
          <w:b/>
          <w:bCs/>
          <w:sz w:val="24"/>
          <w:szCs w:val="24"/>
          <w:lang w:val="en-US"/>
        </w:rPr>
        <w:lastRenderedPageBreak/>
        <w:t>Essential Reading:</w:t>
      </w:r>
    </w:p>
    <w:p w:rsidR="00005B65" w:rsidRPr="00BE6174" w:rsidRDefault="00B75DEA" w:rsidP="00005B65">
      <w:pPr>
        <w:pStyle w:val="ListParagraph"/>
        <w:numPr>
          <w:ilvl w:val="0"/>
          <w:numId w:val="12"/>
        </w:numPr>
        <w:spacing w:after="0" w:line="240" w:lineRule="auto"/>
        <w:ind w:left="714" w:hanging="357"/>
        <w:rPr>
          <w:rFonts w:cstheme="minorHAnsi"/>
          <w:sz w:val="24"/>
          <w:szCs w:val="24"/>
          <w:lang w:val="en-US"/>
        </w:rPr>
      </w:pPr>
      <w:hyperlink r:id="rId23" w:history="1">
        <w:r w:rsidR="00005B65" w:rsidRPr="00BE6174">
          <w:rPr>
            <w:rStyle w:val="Hyperlink"/>
            <w:rFonts w:cstheme="minorHAnsi"/>
            <w:sz w:val="24"/>
            <w:szCs w:val="24"/>
            <w:lang w:val="en-US"/>
          </w:rPr>
          <w:t>ILO Convention No. 169</w:t>
        </w:r>
      </w:hyperlink>
      <w:r w:rsidR="00005B65" w:rsidRPr="00BE6174">
        <w:rPr>
          <w:rFonts w:cstheme="minorHAnsi"/>
          <w:sz w:val="24"/>
          <w:szCs w:val="24"/>
          <w:lang w:val="en-US"/>
        </w:rPr>
        <w:t xml:space="preserve"> 1989</w:t>
      </w:r>
    </w:p>
    <w:p w:rsidR="00005B65" w:rsidRPr="00BE6174" w:rsidRDefault="00B75DEA" w:rsidP="00005B65">
      <w:pPr>
        <w:pStyle w:val="ListParagraph"/>
        <w:numPr>
          <w:ilvl w:val="0"/>
          <w:numId w:val="12"/>
        </w:numPr>
        <w:spacing w:after="0" w:line="240" w:lineRule="auto"/>
        <w:ind w:left="714" w:hanging="357"/>
        <w:rPr>
          <w:rFonts w:cstheme="minorHAnsi"/>
          <w:sz w:val="24"/>
          <w:szCs w:val="24"/>
          <w:lang w:val="en-US"/>
        </w:rPr>
      </w:pPr>
      <w:hyperlink r:id="rId24" w:history="1">
        <w:r w:rsidR="00005B65" w:rsidRPr="00BE6174">
          <w:rPr>
            <w:rStyle w:val="Hyperlink"/>
            <w:rFonts w:cstheme="minorHAnsi"/>
            <w:sz w:val="24"/>
            <w:szCs w:val="24"/>
            <w:lang w:val="en-US"/>
          </w:rPr>
          <w:t>UN Declaration on the Rights of Indigenous Peoples</w:t>
        </w:r>
      </w:hyperlink>
      <w:r w:rsidR="00005B65" w:rsidRPr="00BE6174">
        <w:rPr>
          <w:rFonts w:cstheme="minorHAnsi"/>
          <w:sz w:val="24"/>
          <w:szCs w:val="24"/>
          <w:lang w:val="en-US"/>
        </w:rPr>
        <w:t xml:space="preserve"> 2007</w:t>
      </w:r>
    </w:p>
    <w:p w:rsidR="00005B65" w:rsidRPr="00BE6174" w:rsidRDefault="00B75DEA" w:rsidP="00005B65">
      <w:pPr>
        <w:pStyle w:val="ListParagraph"/>
        <w:numPr>
          <w:ilvl w:val="0"/>
          <w:numId w:val="12"/>
        </w:numPr>
        <w:spacing w:after="0" w:line="240" w:lineRule="auto"/>
        <w:ind w:left="714" w:hanging="357"/>
        <w:rPr>
          <w:rFonts w:cstheme="minorHAnsi"/>
          <w:sz w:val="24"/>
          <w:szCs w:val="24"/>
          <w:lang w:val="en-US"/>
        </w:rPr>
      </w:pPr>
      <w:hyperlink r:id="rId25" w:history="1">
        <w:r w:rsidR="00005B65" w:rsidRPr="00BE6174">
          <w:rPr>
            <w:rStyle w:val="Hyperlink"/>
            <w:rFonts w:cstheme="minorHAnsi"/>
            <w:sz w:val="24"/>
            <w:szCs w:val="24"/>
            <w:lang w:val="en-US"/>
          </w:rPr>
          <w:t>American Declaration on the Rights of Indigenous Peoples</w:t>
        </w:r>
      </w:hyperlink>
      <w:r w:rsidR="00005B65" w:rsidRPr="00BE6174">
        <w:rPr>
          <w:rFonts w:cstheme="minorHAnsi"/>
          <w:sz w:val="24"/>
          <w:szCs w:val="24"/>
          <w:lang w:val="en-US"/>
        </w:rPr>
        <w:t xml:space="preserve"> 2016</w:t>
      </w:r>
    </w:p>
    <w:p w:rsidR="00005B65" w:rsidRPr="00BE6174" w:rsidRDefault="00B75DEA" w:rsidP="00005B65">
      <w:pPr>
        <w:pStyle w:val="ListParagraph"/>
        <w:numPr>
          <w:ilvl w:val="0"/>
          <w:numId w:val="12"/>
        </w:numPr>
        <w:snapToGrid w:val="0"/>
        <w:spacing w:after="0" w:line="240" w:lineRule="auto"/>
        <w:ind w:left="714" w:hanging="357"/>
        <w:rPr>
          <w:rFonts w:cstheme="minorHAnsi"/>
          <w:color w:val="000000" w:themeColor="text1"/>
          <w:sz w:val="24"/>
          <w:szCs w:val="24"/>
          <w:lang w:val="en-US"/>
        </w:rPr>
      </w:pPr>
      <w:hyperlink r:id="rId26" w:history="1">
        <w:r w:rsidR="00005B65" w:rsidRPr="00BE6174">
          <w:rPr>
            <w:rStyle w:val="Hyperlink"/>
            <w:rFonts w:cstheme="minorHAnsi"/>
            <w:color w:val="000000" w:themeColor="text1"/>
            <w:sz w:val="24"/>
            <w:szCs w:val="24"/>
            <w:lang w:val="en-US"/>
          </w:rPr>
          <w:t>Committee on the Elimination of Racial Discrimination, General Recommendation XXIII</w:t>
        </w:r>
      </w:hyperlink>
    </w:p>
    <w:p w:rsidR="00005B65" w:rsidRPr="00BE6174" w:rsidRDefault="00B75DEA" w:rsidP="00005B65">
      <w:pPr>
        <w:pStyle w:val="ListParagraph"/>
        <w:numPr>
          <w:ilvl w:val="0"/>
          <w:numId w:val="12"/>
        </w:numPr>
        <w:snapToGrid w:val="0"/>
        <w:spacing w:after="120" w:line="240" w:lineRule="auto"/>
        <w:rPr>
          <w:rFonts w:cstheme="minorHAnsi"/>
          <w:sz w:val="24"/>
          <w:szCs w:val="24"/>
          <w:lang w:val="en-US"/>
        </w:rPr>
      </w:pPr>
      <w:hyperlink r:id="rId27" w:history="1">
        <w:r w:rsidR="00005B65" w:rsidRPr="00BE6174">
          <w:rPr>
            <w:rStyle w:val="Hyperlink"/>
            <w:rFonts w:cstheme="minorHAnsi"/>
            <w:sz w:val="24"/>
            <w:szCs w:val="24"/>
            <w:lang w:val="en-US"/>
          </w:rPr>
          <w:t>Committee on Economic, Social and Cultural Rights, General Comment No. 21.</w:t>
        </w:r>
      </w:hyperlink>
    </w:p>
    <w:p w:rsidR="00005B65" w:rsidRPr="00BE6174" w:rsidRDefault="00B75DEA" w:rsidP="00005B65">
      <w:pPr>
        <w:pStyle w:val="ListParagraph"/>
        <w:numPr>
          <w:ilvl w:val="0"/>
          <w:numId w:val="12"/>
        </w:numPr>
        <w:snapToGrid w:val="0"/>
        <w:spacing w:after="120" w:line="240" w:lineRule="auto"/>
        <w:rPr>
          <w:rFonts w:cstheme="minorHAnsi"/>
          <w:sz w:val="24"/>
          <w:szCs w:val="24"/>
          <w:lang w:val="en-US"/>
        </w:rPr>
      </w:pPr>
      <w:hyperlink r:id="rId28" w:history="1">
        <w:r w:rsidR="00005B65" w:rsidRPr="00BE6174">
          <w:rPr>
            <w:rStyle w:val="Hyperlink"/>
            <w:rFonts w:cstheme="minorHAnsi"/>
            <w:iCs/>
            <w:sz w:val="24"/>
            <w:szCs w:val="24"/>
            <w:lang w:val="en-US"/>
          </w:rPr>
          <w:t>Petition to the Inter American Commission on Human Rights</w:t>
        </w:r>
      </w:hyperlink>
      <w:r w:rsidR="00005B65" w:rsidRPr="00BE6174">
        <w:rPr>
          <w:rFonts w:cstheme="minorHAnsi"/>
          <w:iCs/>
          <w:sz w:val="24"/>
          <w:szCs w:val="24"/>
          <w:lang w:val="en-US"/>
        </w:rPr>
        <w:t xml:space="preserve"> seeking relief from violations resulting from global warming caused by acts and omissions of the United States, submitted by Sheila Watt-</w:t>
      </w:r>
      <w:proofErr w:type="spellStart"/>
      <w:r w:rsidR="00005B65" w:rsidRPr="00BE6174">
        <w:rPr>
          <w:rFonts w:cstheme="minorHAnsi"/>
          <w:iCs/>
          <w:sz w:val="24"/>
          <w:szCs w:val="24"/>
          <w:lang w:val="en-US"/>
        </w:rPr>
        <w:t>Cloutier</w:t>
      </w:r>
      <w:proofErr w:type="spellEnd"/>
      <w:r w:rsidR="00005B65" w:rsidRPr="00BE6174">
        <w:rPr>
          <w:rFonts w:cstheme="minorHAnsi"/>
          <w:iCs/>
          <w:sz w:val="24"/>
          <w:szCs w:val="24"/>
          <w:lang w:val="en-US"/>
        </w:rPr>
        <w:t>, with the support of the Inuit Circumpolar Conference, on behalf of all Inuit of the Arctic regions of the United States and Canada, Petition No. P-1413-05, 7 December 2005.</w:t>
      </w:r>
    </w:p>
    <w:p w:rsidR="00005B65" w:rsidRPr="00BE6174" w:rsidRDefault="00005B65" w:rsidP="00005B65">
      <w:pPr>
        <w:pStyle w:val="ListParagraph"/>
        <w:numPr>
          <w:ilvl w:val="0"/>
          <w:numId w:val="12"/>
        </w:numPr>
        <w:snapToGrid w:val="0"/>
        <w:spacing w:after="120" w:line="240" w:lineRule="auto"/>
        <w:rPr>
          <w:rFonts w:cstheme="minorHAnsi"/>
          <w:sz w:val="24"/>
          <w:szCs w:val="24"/>
          <w:lang w:val="en-US"/>
        </w:rPr>
      </w:pPr>
      <w:proofErr w:type="spellStart"/>
      <w:r w:rsidRPr="00BE6174">
        <w:rPr>
          <w:rFonts w:eastAsia="Calibri" w:cstheme="minorHAnsi"/>
          <w:bCs/>
          <w:i/>
          <w:iCs/>
          <w:color w:val="000000"/>
          <w:sz w:val="24"/>
          <w:szCs w:val="24"/>
          <w:lang w:val="en-US"/>
        </w:rPr>
        <w:t>Länsman</w:t>
      </w:r>
      <w:proofErr w:type="spellEnd"/>
      <w:r w:rsidRPr="00BE6174">
        <w:rPr>
          <w:rFonts w:eastAsia="Calibri" w:cstheme="minorHAnsi"/>
          <w:bCs/>
          <w:i/>
          <w:iCs/>
          <w:color w:val="000000"/>
          <w:sz w:val="24"/>
          <w:szCs w:val="24"/>
          <w:lang w:val="en-US"/>
        </w:rPr>
        <w:t xml:space="preserve">, </w:t>
      </w:r>
      <w:proofErr w:type="spellStart"/>
      <w:r w:rsidRPr="00BE6174">
        <w:rPr>
          <w:rFonts w:eastAsia="Calibri" w:cstheme="minorHAnsi"/>
          <w:bCs/>
          <w:i/>
          <w:iCs/>
          <w:color w:val="000000"/>
          <w:sz w:val="24"/>
          <w:szCs w:val="24"/>
          <w:lang w:val="en-US"/>
        </w:rPr>
        <w:t>Jouni</w:t>
      </w:r>
      <w:proofErr w:type="spellEnd"/>
      <w:r w:rsidRPr="00BE6174">
        <w:rPr>
          <w:rFonts w:eastAsia="Calibri" w:cstheme="minorHAnsi"/>
          <w:bCs/>
          <w:i/>
          <w:iCs/>
          <w:color w:val="000000"/>
          <w:sz w:val="24"/>
          <w:szCs w:val="24"/>
          <w:lang w:val="en-US"/>
        </w:rPr>
        <w:t xml:space="preserve"> et al v Finland</w:t>
      </w:r>
      <w:r w:rsidRPr="00BE6174">
        <w:rPr>
          <w:rFonts w:eastAsia="Calibri" w:cstheme="minorHAnsi"/>
          <w:bCs/>
          <w:color w:val="000000"/>
          <w:sz w:val="24"/>
          <w:szCs w:val="24"/>
          <w:lang w:val="en-US"/>
        </w:rPr>
        <w:t xml:space="preserve">, Human Rights Committee, Communication No. 1023/2001 (17 March 2005) CCPR/C/83/D/1023/2001. </w:t>
      </w:r>
      <w:r w:rsidRPr="00BE6174">
        <w:rPr>
          <w:rFonts w:eastAsia="Calibri" w:cstheme="minorHAnsi"/>
          <w:bCs/>
          <w:color w:val="000000"/>
          <w:sz w:val="24"/>
          <w:szCs w:val="24"/>
          <w:lang w:val="en-US"/>
        </w:rPr>
        <w:tab/>
      </w:r>
    </w:p>
    <w:p w:rsidR="00005B65" w:rsidRPr="00BE6174" w:rsidRDefault="00005B65" w:rsidP="00005B65">
      <w:pPr>
        <w:pStyle w:val="ListParagraph"/>
        <w:numPr>
          <w:ilvl w:val="0"/>
          <w:numId w:val="12"/>
        </w:numPr>
        <w:snapToGrid w:val="0"/>
        <w:spacing w:after="120" w:line="240" w:lineRule="auto"/>
        <w:rPr>
          <w:rFonts w:cstheme="minorHAnsi"/>
          <w:sz w:val="24"/>
          <w:szCs w:val="24"/>
          <w:lang w:val="en-US"/>
        </w:rPr>
      </w:pPr>
      <w:proofErr w:type="spellStart"/>
      <w:r w:rsidRPr="00BE6174">
        <w:rPr>
          <w:rFonts w:eastAsia="Calibri" w:cstheme="minorHAnsi"/>
          <w:bCs/>
          <w:i/>
          <w:iCs/>
          <w:color w:val="000000"/>
          <w:sz w:val="24"/>
          <w:szCs w:val="24"/>
          <w:lang w:val="en-US"/>
        </w:rPr>
        <w:t>Mahuika</w:t>
      </w:r>
      <w:proofErr w:type="spellEnd"/>
      <w:r w:rsidRPr="00BE6174">
        <w:rPr>
          <w:rFonts w:eastAsia="Calibri" w:cstheme="minorHAnsi"/>
          <w:bCs/>
          <w:i/>
          <w:iCs/>
          <w:color w:val="000000"/>
          <w:sz w:val="24"/>
          <w:szCs w:val="24"/>
          <w:lang w:val="en-US"/>
        </w:rPr>
        <w:t xml:space="preserve"> et al v New Zealand</w:t>
      </w:r>
      <w:r w:rsidRPr="00BE6174">
        <w:rPr>
          <w:rFonts w:eastAsia="Calibri" w:cstheme="minorHAnsi"/>
          <w:bCs/>
          <w:color w:val="000000"/>
          <w:sz w:val="24"/>
          <w:szCs w:val="24"/>
          <w:lang w:val="en-US"/>
        </w:rPr>
        <w:t>, Human Rights Committee Communication No. 547/1993 (15 November 2000) CCPR/C/70/D/547/1933.</w:t>
      </w:r>
    </w:p>
    <w:p w:rsidR="00BE6174" w:rsidRPr="00BE6174" w:rsidRDefault="00BE6174" w:rsidP="00005B65">
      <w:pPr>
        <w:pStyle w:val="ListParagraph"/>
        <w:numPr>
          <w:ilvl w:val="0"/>
          <w:numId w:val="12"/>
        </w:numPr>
        <w:tabs>
          <w:tab w:val="left" w:pos="8505"/>
        </w:tabs>
        <w:snapToGrid w:val="0"/>
        <w:spacing w:after="120" w:line="240" w:lineRule="auto"/>
        <w:outlineLvl w:val="0"/>
        <w:rPr>
          <w:rFonts w:eastAsia="Calibri" w:cstheme="minorHAnsi"/>
          <w:bCs/>
          <w:color w:val="000000" w:themeColor="text1"/>
          <w:sz w:val="24"/>
          <w:szCs w:val="24"/>
          <w:lang w:val="en-US"/>
        </w:rPr>
      </w:pPr>
      <w:proofErr w:type="spellStart"/>
      <w:r w:rsidRPr="00BE6174">
        <w:rPr>
          <w:rFonts w:eastAsia="Calibri" w:cstheme="minorHAnsi"/>
          <w:bCs/>
          <w:i/>
          <w:iCs/>
          <w:color w:val="000000"/>
          <w:sz w:val="24"/>
          <w:szCs w:val="24"/>
          <w:lang w:val="en-US"/>
        </w:rPr>
        <w:t>Poma</w:t>
      </w:r>
      <w:proofErr w:type="spellEnd"/>
      <w:r w:rsidRPr="00BE6174">
        <w:rPr>
          <w:rFonts w:eastAsia="Calibri" w:cstheme="minorHAnsi"/>
          <w:bCs/>
          <w:i/>
          <w:iCs/>
          <w:color w:val="000000"/>
          <w:sz w:val="24"/>
          <w:szCs w:val="24"/>
          <w:lang w:val="en-US"/>
        </w:rPr>
        <w:t xml:space="preserve"> </w:t>
      </w:r>
      <w:proofErr w:type="spellStart"/>
      <w:r w:rsidRPr="00BE6174">
        <w:rPr>
          <w:rFonts w:eastAsia="Calibri" w:cstheme="minorHAnsi"/>
          <w:bCs/>
          <w:i/>
          <w:iCs/>
          <w:color w:val="000000"/>
          <w:sz w:val="24"/>
          <w:szCs w:val="24"/>
          <w:lang w:val="en-US"/>
        </w:rPr>
        <w:t>Poma</w:t>
      </w:r>
      <w:proofErr w:type="spellEnd"/>
      <w:r w:rsidRPr="00BE6174">
        <w:rPr>
          <w:rFonts w:eastAsia="Calibri" w:cstheme="minorHAnsi"/>
          <w:bCs/>
          <w:i/>
          <w:iCs/>
          <w:color w:val="000000"/>
          <w:sz w:val="24"/>
          <w:szCs w:val="24"/>
          <w:lang w:val="en-US"/>
        </w:rPr>
        <w:t xml:space="preserve"> v Peru</w:t>
      </w:r>
      <w:r w:rsidRPr="00BE6174">
        <w:rPr>
          <w:rFonts w:eastAsia="Calibri" w:cstheme="minorHAnsi"/>
          <w:bCs/>
          <w:color w:val="000000"/>
          <w:sz w:val="24"/>
          <w:szCs w:val="24"/>
          <w:lang w:val="en-US"/>
        </w:rPr>
        <w:t xml:space="preserve">, Human Rights Committee, Communication No. 1457/2006 (27 March 2009) CCPR/C/95/D/1457/2006. </w:t>
      </w:r>
    </w:p>
    <w:p w:rsidR="00005B65" w:rsidRPr="00BE6174" w:rsidRDefault="00005B65" w:rsidP="00005B65">
      <w:pPr>
        <w:pStyle w:val="ListParagraph"/>
        <w:numPr>
          <w:ilvl w:val="0"/>
          <w:numId w:val="12"/>
        </w:numPr>
        <w:tabs>
          <w:tab w:val="left" w:pos="8505"/>
        </w:tabs>
        <w:snapToGrid w:val="0"/>
        <w:spacing w:after="120" w:line="240" w:lineRule="auto"/>
        <w:outlineLvl w:val="0"/>
        <w:rPr>
          <w:rFonts w:eastAsia="Calibri" w:cstheme="minorHAnsi"/>
          <w:bCs/>
          <w:color w:val="000000" w:themeColor="text1"/>
          <w:sz w:val="24"/>
          <w:szCs w:val="24"/>
          <w:lang w:val="en-US"/>
        </w:rPr>
      </w:pPr>
      <w:proofErr w:type="spellStart"/>
      <w:r w:rsidRPr="00BE6174">
        <w:rPr>
          <w:rFonts w:eastAsia="Calibri" w:cstheme="minorHAnsi"/>
          <w:bCs/>
          <w:i/>
          <w:iCs/>
          <w:color w:val="000000" w:themeColor="text1"/>
          <w:sz w:val="24"/>
          <w:szCs w:val="24"/>
          <w:lang w:val="en-US"/>
        </w:rPr>
        <w:t>Saramaka</w:t>
      </w:r>
      <w:proofErr w:type="spellEnd"/>
      <w:r w:rsidRPr="00BE6174">
        <w:rPr>
          <w:rFonts w:eastAsia="Calibri" w:cstheme="minorHAnsi"/>
          <w:bCs/>
          <w:i/>
          <w:iCs/>
          <w:color w:val="000000" w:themeColor="text1"/>
          <w:sz w:val="24"/>
          <w:szCs w:val="24"/>
          <w:lang w:val="en-US"/>
        </w:rPr>
        <w:t xml:space="preserve"> People v Suriname</w:t>
      </w:r>
      <w:r w:rsidRPr="00BE6174">
        <w:rPr>
          <w:rFonts w:eastAsia="Calibri" w:cstheme="minorHAnsi"/>
          <w:bCs/>
          <w:color w:val="000000" w:themeColor="text1"/>
          <w:sz w:val="24"/>
          <w:szCs w:val="24"/>
          <w:lang w:val="en-US"/>
        </w:rPr>
        <w:t xml:space="preserve">, Case of the (Preliminary Objections, Merits, Reparation and Costs) Petition 12338, Inter-American Court of Human Rights Series C No 172 (28 November 2007). </w:t>
      </w:r>
    </w:p>
    <w:p w:rsidR="00005B65" w:rsidRPr="00BE6174" w:rsidRDefault="00005B65" w:rsidP="00005B65">
      <w:pPr>
        <w:pStyle w:val="ListParagraph"/>
        <w:numPr>
          <w:ilvl w:val="0"/>
          <w:numId w:val="12"/>
        </w:numPr>
        <w:snapToGrid w:val="0"/>
        <w:spacing w:after="0" w:line="240" w:lineRule="auto"/>
        <w:rPr>
          <w:rFonts w:cstheme="minorHAnsi"/>
          <w:sz w:val="24"/>
          <w:szCs w:val="24"/>
          <w:lang w:val="en-US"/>
        </w:rPr>
      </w:pPr>
      <w:r w:rsidRPr="00BE6174">
        <w:rPr>
          <w:rFonts w:cstheme="minorHAnsi"/>
          <w:sz w:val="24"/>
          <w:szCs w:val="24"/>
          <w:lang w:val="en-US"/>
        </w:rPr>
        <w:t xml:space="preserve">Rachael Lorna Johnstone, Offshore Oil and Gas Development in the Arctic under International Law. Risk and Responsibility, </w:t>
      </w:r>
      <w:proofErr w:type="spellStart"/>
      <w:r w:rsidRPr="00BE6174">
        <w:rPr>
          <w:rFonts w:cstheme="minorHAnsi"/>
          <w:sz w:val="24"/>
          <w:szCs w:val="24"/>
          <w:lang w:val="en-US"/>
        </w:rPr>
        <w:t>Ch</w:t>
      </w:r>
      <w:proofErr w:type="spellEnd"/>
      <w:r w:rsidRPr="00BE6174">
        <w:rPr>
          <w:rFonts w:cstheme="minorHAnsi"/>
          <w:sz w:val="24"/>
          <w:szCs w:val="24"/>
          <w:lang w:val="en-US"/>
        </w:rPr>
        <w:t xml:space="preserve"> 5 (distributed by instructor).</w:t>
      </w:r>
    </w:p>
    <w:p w:rsidR="00005B65" w:rsidRPr="00BE6174" w:rsidRDefault="00005B65" w:rsidP="00005B65">
      <w:pPr>
        <w:pStyle w:val="ListParagraph"/>
        <w:numPr>
          <w:ilvl w:val="0"/>
          <w:numId w:val="12"/>
        </w:numPr>
        <w:snapToGrid w:val="0"/>
        <w:spacing w:after="0" w:line="240" w:lineRule="auto"/>
        <w:rPr>
          <w:rFonts w:cstheme="minorHAnsi"/>
          <w:sz w:val="24"/>
          <w:szCs w:val="24"/>
          <w:lang w:val="en-US"/>
        </w:rPr>
      </w:pPr>
      <w:r w:rsidRPr="00BE6174">
        <w:rPr>
          <w:rFonts w:cstheme="minorHAnsi"/>
          <w:bCs/>
          <w:i/>
          <w:iCs/>
          <w:sz w:val="24"/>
          <w:szCs w:val="24"/>
          <w:lang w:val="en-US"/>
        </w:rPr>
        <w:t xml:space="preserve">Centre for Minority Rights Development (Kenya) and Minority Rights Group International on behalf of </w:t>
      </w:r>
      <w:proofErr w:type="spellStart"/>
      <w:r w:rsidRPr="00BE6174">
        <w:rPr>
          <w:rFonts w:cstheme="minorHAnsi"/>
          <w:bCs/>
          <w:i/>
          <w:iCs/>
          <w:sz w:val="24"/>
          <w:szCs w:val="24"/>
          <w:lang w:val="en-US"/>
        </w:rPr>
        <w:t>Endorois</w:t>
      </w:r>
      <w:proofErr w:type="spellEnd"/>
      <w:r w:rsidRPr="00BE6174">
        <w:rPr>
          <w:rFonts w:cstheme="minorHAnsi"/>
          <w:bCs/>
          <w:i/>
          <w:iCs/>
          <w:sz w:val="24"/>
          <w:szCs w:val="24"/>
          <w:lang w:val="en-US"/>
        </w:rPr>
        <w:t xml:space="preserve"> Welfare Council v Kenya, </w:t>
      </w:r>
      <w:r w:rsidRPr="00BE6174">
        <w:rPr>
          <w:rFonts w:cstheme="minorHAnsi"/>
          <w:bCs/>
          <w:iCs/>
          <w:sz w:val="24"/>
          <w:szCs w:val="24"/>
          <w:lang w:val="en-US"/>
        </w:rPr>
        <w:t xml:space="preserve">Communication 276/2003 (25 November 2009) AHRLR 75.  </w:t>
      </w:r>
    </w:p>
    <w:p w:rsidR="00005B65" w:rsidRPr="00BE6174" w:rsidRDefault="00005B65" w:rsidP="00005B65">
      <w:pPr>
        <w:spacing w:after="0" w:line="240" w:lineRule="auto"/>
        <w:rPr>
          <w:rFonts w:cstheme="minorHAnsi"/>
          <w:sz w:val="24"/>
          <w:szCs w:val="24"/>
          <w:lang w:val="en-US"/>
        </w:rPr>
      </w:pPr>
    </w:p>
    <w:p w:rsidR="00005B65" w:rsidRPr="00BE6174" w:rsidRDefault="00005B65" w:rsidP="00005B65">
      <w:pPr>
        <w:spacing w:after="0" w:line="240" w:lineRule="auto"/>
        <w:rPr>
          <w:rFonts w:cstheme="minorHAnsi"/>
          <w:sz w:val="24"/>
          <w:szCs w:val="24"/>
          <w:lang w:val="en-US"/>
        </w:rPr>
      </w:pPr>
    </w:p>
    <w:p w:rsidR="00005B65" w:rsidRPr="00BE6174" w:rsidRDefault="00005B65" w:rsidP="00005B65">
      <w:pPr>
        <w:spacing w:after="0" w:line="240" w:lineRule="auto"/>
        <w:rPr>
          <w:rFonts w:cstheme="minorHAnsi"/>
          <w:b/>
          <w:color w:val="FF0000"/>
          <w:sz w:val="24"/>
          <w:szCs w:val="24"/>
          <w:lang w:val="en-US"/>
        </w:rPr>
      </w:pPr>
      <w:r w:rsidRPr="00BE6174">
        <w:rPr>
          <w:rFonts w:cstheme="minorHAnsi"/>
          <w:b/>
          <w:color w:val="FF0000"/>
          <w:sz w:val="24"/>
          <w:szCs w:val="24"/>
          <w:lang w:val="en-US"/>
        </w:rPr>
        <w:t xml:space="preserve">6th November: The principle of non-discrimination </w:t>
      </w:r>
    </w:p>
    <w:p w:rsidR="00005B65" w:rsidRPr="00BE6174" w:rsidRDefault="00005B65" w:rsidP="00005B65">
      <w:pPr>
        <w:pStyle w:val="ListParagraph"/>
        <w:numPr>
          <w:ilvl w:val="0"/>
          <w:numId w:val="18"/>
        </w:numPr>
        <w:spacing w:after="0" w:line="240" w:lineRule="auto"/>
        <w:rPr>
          <w:rFonts w:cstheme="minorHAnsi"/>
          <w:sz w:val="24"/>
          <w:szCs w:val="24"/>
          <w:lang w:val="en-US"/>
        </w:rPr>
      </w:pPr>
      <w:r w:rsidRPr="00BE6174">
        <w:rPr>
          <w:rFonts w:cstheme="minorHAnsi"/>
          <w:sz w:val="24"/>
          <w:szCs w:val="24"/>
          <w:lang w:val="en-US"/>
        </w:rPr>
        <w:t xml:space="preserve">Non-discrimination or equality? </w:t>
      </w:r>
    </w:p>
    <w:p w:rsidR="00005B65" w:rsidRPr="00BE6174" w:rsidRDefault="00005B65" w:rsidP="00005B65">
      <w:pPr>
        <w:pStyle w:val="ListParagraph"/>
        <w:numPr>
          <w:ilvl w:val="0"/>
          <w:numId w:val="18"/>
        </w:numPr>
        <w:spacing w:after="0" w:line="240" w:lineRule="auto"/>
        <w:rPr>
          <w:rFonts w:cstheme="minorHAnsi"/>
          <w:sz w:val="24"/>
          <w:szCs w:val="24"/>
          <w:lang w:val="en-US"/>
        </w:rPr>
      </w:pPr>
      <w:r w:rsidRPr="00BE6174">
        <w:rPr>
          <w:rFonts w:cstheme="minorHAnsi"/>
          <w:sz w:val="24"/>
          <w:szCs w:val="24"/>
          <w:lang w:val="en-US"/>
        </w:rPr>
        <w:t>The UN non-discrimination treaties</w:t>
      </w:r>
    </w:p>
    <w:p w:rsidR="00005B65" w:rsidRPr="00BE6174" w:rsidRDefault="00005B65" w:rsidP="00005B65">
      <w:pPr>
        <w:pStyle w:val="ListParagraph"/>
        <w:numPr>
          <w:ilvl w:val="0"/>
          <w:numId w:val="18"/>
        </w:numPr>
        <w:spacing w:after="0" w:line="240" w:lineRule="auto"/>
        <w:rPr>
          <w:rFonts w:cstheme="minorHAnsi"/>
          <w:sz w:val="24"/>
          <w:szCs w:val="24"/>
          <w:lang w:val="en-US"/>
        </w:rPr>
      </w:pPr>
      <w:r w:rsidRPr="00BE6174">
        <w:rPr>
          <w:rFonts w:cstheme="minorHAnsi"/>
          <w:sz w:val="24"/>
          <w:szCs w:val="24"/>
          <w:lang w:val="en-US"/>
        </w:rPr>
        <w:t>Discrimination based on “other status”</w:t>
      </w:r>
    </w:p>
    <w:p w:rsidR="00005B65" w:rsidRPr="00BE6174" w:rsidRDefault="00005B65" w:rsidP="00005B65">
      <w:pPr>
        <w:pStyle w:val="ListParagraph"/>
        <w:numPr>
          <w:ilvl w:val="0"/>
          <w:numId w:val="18"/>
        </w:numPr>
        <w:spacing w:after="0" w:line="240" w:lineRule="auto"/>
        <w:rPr>
          <w:rFonts w:cstheme="minorHAnsi"/>
          <w:sz w:val="24"/>
          <w:szCs w:val="24"/>
          <w:lang w:val="en-US"/>
        </w:rPr>
      </w:pPr>
      <w:r w:rsidRPr="00BE6174">
        <w:rPr>
          <w:rFonts w:cstheme="minorHAnsi"/>
          <w:sz w:val="24"/>
          <w:szCs w:val="24"/>
          <w:lang w:val="en-US"/>
        </w:rPr>
        <w:t>Avoiding discrimination in practice</w:t>
      </w:r>
    </w:p>
    <w:p w:rsidR="00005B65" w:rsidRPr="00BE6174" w:rsidRDefault="00DC2DD7" w:rsidP="00005B65">
      <w:pPr>
        <w:pStyle w:val="ListParagraph"/>
        <w:numPr>
          <w:ilvl w:val="0"/>
          <w:numId w:val="18"/>
        </w:numPr>
        <w:spacing w:after="0" w:line="240" w:lineRule="auto"/>
        <w:rPr>
          <w:rFonts w:cstheme="minorHAnsi"/>
          <w:sz w:val="24"/>
          <w:szCs w:val="24"/>
          <w:lang w:val="en-US"/>
        </w:rPr>
      </w:pPr>
      <w:r>
        <w:rPr>
          <w:rFonts w:cstheme="minorHAnsi"/>
          <w:sz w:val="24"/>
          <w:szCs w:val="24"/>
          <w:lang w:val="en-US"/>
        </w:rPr>
        <w:t>Objective and r</w:t>
      </w:r>
      <w:r w:rsidR="00D9288E" w:rsidRPr="00BE6174">
        <w:rPr>
          <w:rFonts w:cstheme="minorHAnsi"/>
          <w:sz w:val="24"/>
          <w:szCs w:val="24"/>
          <w:lang w:val="en-US"/>
        </w:rPr>
        <w:t>easonable justifications</w:t>
      </w:r>
    </w:p>
    <w:p w:rsidR="00D9288E" w:rsidRDefault="00D9288E" w:rsidP="00005B65">
      <w:pPr>
        <w:pStyle w:val="ListParagraph"/>
        <w:numPr>
          <w:ilvl w:val="0"/>
          <w:numId w:val="18"/>
        </w:numPr>
        <w:spacing w:after="0" w:line="240" w:lineRule="auto"/>
        <w:rPr>
          <w:rFonts w:cstheme="minorHAnsi"/>
          <w:sz w:val="24"/>
          <w:szCs w:val="24"/>
          <w:lang w:val="en-US"/>
        </w:rPr>
      </w:pPr>
      <w:r w:rsidRPr="00BE6174">
        <w:rPr>
          <w:rFonts w:cstheme="minorHAnsi"/>
          <w:sz w:val="24"/>
          <w:szCs w:val="24"/>
          <w:lang w:val="en-US"/>
        </w:rPr>
        <w:t xml:space="preserve">Discrimination and </w:t>
      </w:r>
      <w:r w:rsidR="00DC2DD7">
        <w:rPr>
          <w:rFonts w:cstheme="minorHAnsi"/>
          <w:sz w:val="24"/>
          <w:szCs w:val="24"/>
          <w:lang w:val="en-US"/>
        </w:rPr>
        <w:t>p</w:t>
      </w:r>
      <w:r w:rsidRPr="00BE6174">
        <w:rPr>
          <w:rFonts w:cstheme="minorHAnsi"/>
          <w:sz w:val="24"/>
          <w:szCs w:val="24"/>
          <w:lang w:val="en-US"/>
        </w:rPr>
        <w:t xml:space="preserve">rotection of Indigenous Peoples and Minorities </w:t>
      </w:r>
    </w:p>
    <w:p w:rsidR="00DC2DD7" w:rsidRPr="00BE6174" w:rsidRDefault="00DC2DD7" w:rsidP="00005B65">
      <w:pPr>
        <w:pStyle w:val="ListParagraph"/>
        <w:numPr>
          <w:ilvl w:val="0"/>
          <w:numId w:val="18"/>
        </w:numPr>
        <w:spacing w:after="0" w:line="240" w:lineRule="auto"/>
        <w:rPr>
          <w:rFonts w:cstheme="minorHAnsi"/>
          <w:sz w:val="24"/>
          <w:szCs w:val="24"/>
          <w:lang w:val="en-US"/>
        </w:rPr>
      </w:pPr>
      <w:r>
        <w:rPr>
          <w:rFonts w:cstheme="minorHAnsi"/>
          <w:sz w:val="24"/>
          <w:szCs w:val="24"/>
          <w:lang w:val="en-US"/>
        </w:rPr>
        <w:t>Linguistic minorities</w:t>
      </w:r>
    </w:p>
    <w:p w:rsidR="00005B65" w:rsidRPr="00BE6174" w:rsidRDefault="00005B65" w:rsidP="00005B65">
      <w:pPr>
        <w:spacing w:after="0" w:line="240" w:lineRule="auto"/>
        <w:rPr>
          <w:rFonts w:cstheme="minorHAnsi"/>
          <w:sz w:val="24"/>
          <w:szCs w:val="24"/>
          <w:lang w:val="en-US"/>
        </w:rPr>
      </w:pPr>
    </w:p>
    <w:p w:rsidR="00005B65" w:rsidRPr="00DC2DD7" w:rsidRDefault="00005B65" w:rsidP="00005B65">
      <w:pPr>
        <w:spacing w:after="0" w:line="240" w:lineRule="auto"/>
        <w:rPr>
          <w:rFonts w:cstheme="minorHAnsi"/>
          <w:sz w:val="24"/>
          <w:szCs w:val="24"/>
          <w:lang w:val="en-US"/>
        </w:rPr>
      </w:pPr>
      <w:r w:rsidRPr="00DC2DD7">
        <w:rPr>
          <w:rFonts w:cstheme="minorHAnsi"/>
          <w:b/>
          <w:sz w:val="24"/>
          <w:szCs w:val="24"/>
          <w:lang w:val="en-US"/>
        </w:rPr>
        <w:t xml:space="preserve">Essential Reading: </w:t>
      </w:r>
    </w:p>
    <w:p w:rsidR="00005B65" w:rsidRPr="00DC2DD7" w:rsidRDefault="00005B65" w:rsidP="00005B65">
      <w:pPr>
        <w:pStyle w:val="ListParagraph"/>
        <w:numPr>
          <w:ilvl w:val="0"/>
          <w:numId w:val="19"/>
        </w:numPr>
        <w:spacing w:after="0" w:line="240" w:lineRule="auto"/>
        <w:rPr>
          <w:rFonts w:cstheme="minorHAnsi"/>
          <w:sz w:val="24"/>
          <w:szCs w:val="24"/>
          <w:lang w:val="en-US"/>
        </w:rPr>
      </w:pPr>
      <w:r w:rsidRPr="00DC2DD7">
        <w:rPr>
          <w:rFonts w:cstheme="minorHAnsi"/>
          <w:sz w:val="24"/>
          <w:szCs w:val="24"/>
          <w:lang w:val="en-US"/>
        </w:rPr>
        <w:t>Smith, Chapter 12</w:t>
      </w:r>
    </w:p>
    <w:p w:rsidR="00DC2DD7" w:rsidRPr="00DC2DD7" w:rsidRDefault="00005B65" w:rsidP="00005B65">
      <w:pPr>
        <w:pStyle w:val="ListParagraph"/>
        <w:numPr>
          <w:ilvl w:val="0"/>
          <w:numId w:val="19"/>
        </w:numPr>
        <w:spacing w:after="0" w:line="240" w:lineRule="auto"/>
        <w:rPr>
          <w:rStyle w:val="Hyperlink"/>
          <w:rFonts w:cstheme="minorHAnsi"/>
          <w:color w:val="auto"/>
          <w:sz w:val="24"/>
          <w:szCs w:val="24"/>
          <w:u w:val="none"/>
          <w:lang w:val="en-US"/>
        </w:rPr>
      </w:pPr>
      <w:r w:rsidRPr="00DC2DD7">
        <w:rPr>
          <w:rFonts w:cstheme="minorHAnsi"/>
          <w:sz w:val="24"/>
          <w:szCs w:val="24"/>
          <w:lang w:val="en-US"/>
        </w:rPr>
        <w:t>Icelandic Hu</w:t>
      </w:r>
      <w:bookmarkStart w:id="0" w:name="_GoBack"/>
      <w:bookmarkEnd w:id="0"/>
      <w:r w:rsidRPr="00DC2DD7">
        <w:rPr>
          <w:rFonts w:cstheme="minorHAnsi"/>
          <w:sz w:val="24"/>
          <w:szCs w:val="24"/>
          <w:lang w:val="en-US"/>
        </w:rPr>
        <w:t xml:space="preserve">man Rights Centre, </w:t>
      </w:r>
      <w:hyperlink r:id="rId29" w:history="1">
        <w:r w:rsidRPr="00DC2DD7">
          <w:rPr>
            <w:rStyle w:val="Hyperlink"/>
            <w:rFonts w:cstheme="minorHAnsi"/>
            <w:i/>
            <w:sz w:val="24"/>
            <w:szCs w:val="24"/>
            <w:lang w:val="en-US"/>
          </w:rPr>
          <w:t>The Right to Equality and Non-Discrimination</w:t>
        </w:r>
      </w:hyperlink>
    </w:p>
    <w:p w:rsidR="00005B65" w:rsidRPr="00DC2DD7" w:rsidRDefault="00DC2DD7" w:rsidP="00DC2DD7">
      <w:pPr>
        <w:pStyle w:val="ListParagraph"/>
        <w:numPr>
          <w:ilvl w:val="0"/>
          <w:numId w:val="19"/>
        </w:numPr>
        <w:spacing w:after="0" w:line="240" w:lineRule="auto"/>
        <w:rPr>
          <w:rFonts w:cstheme="minorHAnsi"/>
          <w:sz w:val="24"/>
          <w:szCs w:val="24"/>
          <w:lang w:val="en-US"/>
        </w:rPr>
      </w:pPr>
      <w:r w:rsidRPr="00DC2DD7">
        <w:rPr>
          <w:rFonts w:cstheme="minorHAnsi"/>
          <w:i/>
          <w:sz w:val="24"/>
          <w:szCs w:val="24"/>
          <w:lang w:val="en-US"/>
        </w:rPr>
        <w:t xml:space="preserve">Sandra Lovelace v. Canada, </w:t>
      </w:r>
      <w:r>
        <w:rPr>
          <w:rFonts w:cstheme="minorHAnsi"/>
          <w:sz w:val="24"/>
          <w:szCs w:val="24"/>
          <w:lang w:val="en-US"/>
        </w:rPr>
        <w:t xml:space="preserve">Human Rights Committee, </w:t>
      </w:r>
      <w:r w:rsidRPr="00DC2DD7">
        <w:rPr>
          <w:rFonts w:cstheme="minorHAnsi"/>
          <w:sz w:val="24"/>
          <w:szCs w:val="24"/>
          <w:lang w:val="en-US"/>
        </w:rPr>
        <w:t>Communication No. R.6/24, U.N. Doc. Supp. No. 40 (A/36/40) at 166 (1981).</w:t>
      </w:r>
    </w:p>
    <w:p w:rsidR="00005B65" w:rsidRPr="00BE6174" w:rsidRDefault="00005B65" w:rsidP="00005B65">
      <w:pPr>
        <w:spacing w:after="0" w:line="240" w:lineRule="auto"/>
        <w:rPr>
          <w:rFonts w:cstheme="minorHAnsi"/>
          <w:b/>
          <w:sz w:val="24"/>
          <w:szCs w:val="24"/>
          <w:lang w:val="en-US"/>
        </w:rPr>
      </w:pPr>
    </w:p>
    <w:p w:rsidR="00A0181D" w:rsidRDefault="00A0181D" w:rsidP="00005B65">
      <w:pPr>
        <w:spacing w:after="0" w:line="240" w:lineRule="auto"/>
        <w:rPr>
          <w:rFonts w:cstheme="minorHAnsi"/>
          <w:b/>
          <w:color w:val="FF0000"/>
          <w:sz w:val="24"/>
          <w:szCs w:val="24"/>
          <w:lang w:val="en-US"/>
        </w:rPr>
      </w:pPr>
    </w:p>
    <w:p w:rsidR="00005B65" w:rsidRPr="00BE6174" w:rsidRDefault="00005B65" w:rsidP="00005B65">
      <w:pPr>
        <w:spacing w:after="0" w:line="240" w:lineRule="auto"/>
        <w:rPr>
          <w:rFonts w:cstheme="minorHAnsi"/>
          <w:b/>
          <w:color w:val="FF0000"/>
          <w:sz w:val="24"/>
          <w:szCs w:val="24"/>
          <w:lang w:val="en-US"/>
        </w:rPr>
      </w:pPr>
      <w:r w:rsidRPr="00BE6174">
        <w:rPr>
          <w:rFonts w:cstheme="minorHAnsi"/>
          <w:b/>
          <w:color w:val="FF0000"/>
          <w:sz w:val="24"/>
          <w:szCs w:val="24"/>
          <w:lang w:val="en-US"/>
        </w:rPr>
        <w:t>8th November: State responsibility and remedies in human rights law</w:t>
      </w:r>
    </w:p>
    <w:p w:rsidR="00005B65" w:rsidRPr="00BE6174" w:rsidRDefault="00005B65" w:rsidP="00005B65">
      <w:pPr>
        <w:pStyle w:val="ListParagraph"/>
        <w:numPr>
          <w:ilvl w:val="0"/>
          <w:numId w:val="1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t>State responsibility and state actors in general international law</w:t>
      </w:r>
    </w:p>
    <w:p w:rsidR="00005B65" w:rsidRPr="00BE6174" w:rsidRDefault="00005B65" w:rsidP="00005B65">
      <w:pPr>
        <w:pStyle w:val="ListParagraph"/>
        <w:numPr>
          <w:ilvl w:val="0"/>
          <w:numId w:val="15"/>
        </w:numPr>
        <w:snapToGrid w:val="0"/>
        <w:spacing w:after="0" w:line="240" w:lineRule="auto"/>
        <w:ind w:left="228" w:hanging="141"/>
        <w:contextualSpacing w:val="0"/>
        <w:rPr>
          <w:rFonts w:cstheme="minorHAnsi"/>
          <w:color w:val="000000" w:themeColor="text1"/>
          <w:sz w:val="24"/>
          <w:szCs w:val="24"/>
          <w:lang w:val="en-US"/>
        </w:rPr>
      </w:pPr>
      <w:r w:rsidRPr="00BE6174">
        <w:rPr>
          <w:rFonts w:cstheme="minorHAnsi"/>
          <w:color w:val="000000" w:themeColor="text1"/>
          <w:sz w:val="24"/>
          <w:szCs w:val="24"/>
          <w:lang w:val="en-US"/>
        </w:rPr>
        <w:lastRenderedPageBreak/>
        <w:t>The tertiary scheme of state responsibility in human rights law Positive and negative obligations</w:t>
      </w:r>
    </w:p>
    <w:p w:rsidR="00005B65" w:rsidRPr="00BE6174" w:rsidRDefault="00005B65" w:rsidP="00005B65">
      <w:pPr>
        <w:pStyle w:val="ListParagraph"/>
        <w:numPr>
          <w:ilvl w:val="0"/>
          <w:numId w:val="15"/>
        </w:numPr>
        <w:snapToGrid w:val="0"/>
        <w:spacing w:after="0" w:line="240" w:lineRule="auto"/>
        <w:ind w:left="228" w:hanging="141"/>
        <w:contextualSpacing w:val="0"/>
        <w:rPr>
          <w:rFonts w:cstheme="minorHAnsi"/>
          <w:b/>
          <w:iCs/>
          <w:color w:val="000000" w:themeColor="text1"/>
          <w:sz w:val="24"/>
          <w:szCs w:val="24"/>
          <w:lang w:val="en-US"/>
        </w:rPr>
      </w:pPr>
      <w:r w:rsidRPr="00BE6174">
        <w:rPr>
          <w:rFonts w:cstheme="minorHAnsi"/>
          <w:color w:val="000000" w:themeColor="text1"/>
          <w:sz w:val="24"/>
          <w:szCs w:val="24"/>
          <w:lang w:val="en-US"/>
        </w:rPr>
        <w:t>State responsibility for private violations</w:t>
      </w:r>
    </w:p>
    <w:p w:rsidR="00005B65" w:rsidRPr="00BE6174" w:rsidRDefault="00005B65" w:rsidP="00005B65">
      <w:pPr>
        <w:pStyle w:val="ListParagraph"/>
        <w:numPr>
          <w:ilvl w:val="0"/>
          <w:numId w:val="15"/>
        </w:numPr>
        <w:snapToGrid w:val="0"/>
        <w:spacing w:after="0" w:line="240" w:lineRule="auto"/>
        <w:ind w:left="228" w:hanging="141"/>
        <w:contextualSpacing w:val="0"/>
        <w:rPr>
          <w:rFonts w:cstheme="minorHAnsi"/>
          <w:b/>
          <w:iCs/>
          <w:color w:val="000000" w:themeColor="text1"/>
          <w:sz w:val="24"/>
          <w:szCs w:val="24"/>
          <w:lang w:val="en-US"/>
        </w:rPr>
      </w:pPr>
      <w:r w:rsidRPr="00BE6174">
        <w:rPr>
          <w:rFonts w:cstheme="minorHAnsi"/>
          <w:color w:val="000000" w:themeColor="text1"/>
          <w:sz w:val="24"/>
          <w:szCs w:val="24"/>
          <w:lang w:val="en-US"/>
        </w:rPr>
        <w:t>Obligations of Conduct &amp; Result</w:t>
      </w:r>
    </w:p>
    <w:p w:rsidR="00005B65" w:rsidRPr="00BE6174" w:rsidRDefault="00005B65" w:rsidP="00005B65">
      <w:pPr>
        <w:pStyle w:val="ListParagraph"/>
        <w:numPr>
          <w:ilvl w:val="0"/>
          <w:numId w:val="15"/>
        </w:numPr>
        <w:snapToGrid w:val="0"/>
        <w:spacing w:after="0" w:line="240" w:lineRule="auto"/>
        <w:ind w:left="228" w:hanging="141"/>
        <w:contextualSpacing w:val="0"/>
        <w:rPr>
          <w:rFonts w:cstheme="minorHAnsi"/>
          <w:b/>
          <w:iCs/>
          <w:color w:val="000000" w:themeColor="text1"/>
          <w:sz w:val="24"/>
          <w:szCs w:val="24"/>
          <w:lang w:val="en-US"/>
        </w:rPr>
      </w:pPr>
      <w:proofErr w:type="spellStart"/>
      <w:r w:rsidRPr="00BE6174">
        <w:rPr>
          <w:rFonts w:cstheme="minorHAnsi"/>
          <w:color w:val="000000" w:themeColor="text1"/>
          <w:sz w:val="24"/>
          <w:szCs w:val="24"/>
          <w:lang w:val="en-US"/>
        </w:rPr>
        <w:t>Justiciability</w:t>
      </w:r>
      <w:proofErr w:type="spellEnd"/>
      <w:r w:rsidRPr="00BE6174">
        <w:rPr>
          <w:rFonts w:cstheme="minorHAnsi"/>
          <w:color w:val="000000" w:themeColor="text1"/>
          <w:sz w:val="24"/>
          <w:szCs w:val="24"/>
          <w:lang w:val="en-US"/>
        </w:rPr>
        <w:t xml:space="preserve"> of “positive” rights</w:t>
      </w:r>
    </w:p>
    <w:p w:rsidR="00005B65" w:rsidRPr="00BE6174" w:rsidRDefault="00005B65" w:rsidP="00005B65">
      <w:pPr>
        <w:pStyle w:val="ListParagraph"/>
        <w:snapToGrid w:val="0"/>
        <w:spacing w:after="0" w:line="240" w:lineRule="auto"/>
        <w:ind w:left="0"/>
        <w:contextualSpacing w:val="0"/>
        <w:rPr>
          <w:rFonts w:cstheme="minorHAnsi"/>
          <w:color w:val="000000" w:themeColor="text1"/>
          <w:sz w:val="24"/>
          <w:szCs w:val="24"/>
          <w:lang w:val="en-US"/>
        </w:rPr>
      </w:pPr>
    </w:p>
    <w:p w:rsidR="00005B65" w:rsidRPr="00BE6174" w:rsidRDefault="00005B65" w:rsidP="00005B65">
      <w:pPr>
        <w:pStyle w:val="ListParagraph"/>
        <w:snapToGrid w:val="0"/>
        <w:spacing w:after="0" w:line="240" w:lineRule="auto"/>
        <w:ind w:left="0"/>
        <w:contextualSpacing w:val="0"/>
        <w:rPr>
          <w:rFonts w:cstheme="minorHAnsi"/>
          <w:b/>
          <w:color w:val="000000" w:themeColor="text1"/>
          <w:sz w:val="24"/>
          <w:szCs w:val="24"/>
          <w:lang w:val="en-US"/>
        </w:rPr>
      </w:pPr>
      <w:r w:rsidRPr="00BE6174">
        <w:rPr>
          <w:rFonts w:cstheme="minorHAnsi"/>
          <w:b/>
          <w:color w:val="000000" w:themeColor="text1"/>
          <w:sz w:val="24"/>
          <w:szCs w:val="24"/>
          <w:lang w:val="en-US"/>
        </w:rPr>
        <w:t xml:space="preserve">Essential Reading: </w:t>
      </w:r>
    </w:p>
    <w:p w:rsidR="00005B65" w:rsidRPr="00BE6174" w:rsidRDefault="00005B65" w:rsidP="00005B65">
      <w:pPr>
        <w:pStyle w:val="ListParagraph"/>
        <w:numPr>
          <w:ilvl w:val="0"/>
          <w:numId w:val="16"/>
        </w:numPr>
        <w:snapToGrid w:val="0"/>
        <w:spacing w:after="0" w:line="240" w:lineRule="auto"/>
        <w:contextualSpacing w:val="0"/>
        <w:rPr>
          <w:rFonts w:cstheme="minorHAnsi"/>
          <w:color w:val="000000" w:themeColor="text1"/>
          <w:sz w:val="24"/>
          <w:szCs w:val="24"/>
          <w:lang w:val="en-US"/>
        </w:rPr>
      </w:pPr>
      <w:r w:rsidRPr="00BE6174">
        <w:rPr>
          <w:rFonts w:cstheme="minorHAnsi"/>
          <w:color w:val="000000" w:themeColor="text1"/>
          <w:sz w:val="24"/>
          <w:szCs w:val="24"/>
          <w:lang w:val="en-US"/>
        </w:rPr>
        <w:t xml:space="preserve">Rachael Lorna Johnstone: “State Responsibility: A Concerto for Court, Council and Committee,” 37(1) </w:t>
      </w:r>
      <w:r w:rsidRPr="00BE6174">
        <w:rPr>
          <w:rFonts w:cstheme="minorHAnsi"/>
          <w:i/>
          <w:color w:val="000000" w:themeColor="text1"/>
          <w:sz w:val="24"/>
          <w:szCs w:val="24"/>
          <w:lang w:val="en-US"/>
        </w:rPr>
        <w:t xml:space="preserve">Denver Journal of International Law and Policy </w:t>
      </w:r>
      <w:r w:rsidRPr="00BE6174">
        <w:rPr>
          <w:rFonts w:cstheme="minorHAnsi"/>
          <w:color w:val="000000" w:themeColor="text1"/>
          <w:sz w:val="24"/>
          <w:szCs w:val="24"/>
          <w:lang w:val="en-US"/>
        </w:rPr>
        <w:t>63-117 [2008].</w:t>
      </w:r>
      <w:r w:rsidRPr="00BE6174">
        <w:rPr>
          <w:rFonts w:cstheme="minorHAnsi"/>
          <w:i/>
          <w:color w:val="000000" w:themeColor="text1"/>
          <w:sz w:val="24"/>
          <w:szCs w:val="24"/>
          <w:lang w:val="en-US"/>
        </w:rPr>
        <w:t xml:space="preserve"> </w:t>
      </w:r>
      <w:r w:rsidRPr="00BE6174">
        <w:rPr>
          <w:rFonts w:cstheme="minorHAnsi"/>
          <w:color w:val="000000" w:themeColor="text1"/>
          <w:sz w:val="24"/>
          <w:szCs w:val="24"/>
          <w:lang w:val="en-US"/>
        </w:rPr>
        <w:t xml:space="preserve"> (Read Part IV) (distributed by instructor)</w:t>
      </w:r>
    </w:p>
    <w:p w:rsidR="00005B65" w:rsidRPr="00BE6174" w:rsidRDefault="00B75DEA" w:rsidP="00005B65">
      <w:pPr>
        <w:pStyle w:val="ListParagraph"/>
        <w:numPr>
          <w:ilvl w:val="0"/>
          <w:numId w:val="16"/>
        </w:numPr>
        <w:snapToGrid w:val="0"/>
        <w:spacing w:after="0" w:line="240" w:lineRule="auto"/>
        <w:contextualSpacing w:val="0"/>
        <w:rPr>
          <w:rFonts w:cstheme="minorHAnsi"/>
          <w:color w:val="000000" w:themeColor="text1"/>
          <w:sz w:val="24"/>
          <w:szCs w:val="24"/>
          <w:lang w:val="en-US"/>
        </w:rPr>
      </w:pPr>
      <w:hyperlink r:id="rId30" w:history="1">
        <w:r w:rsidR="00005B65" w:rsidRPr="00BE6174">
          <w:rPr>
            <w:rStyle w:val="Hyperlink"/>
            <w:rFonts w:cstheme="minorHAnsi"/>
            <w:sz w:val="24"/>
            <w:szCs w:val="24"/>
            <w:lang w:val="en-US"/>
          </w:rPr>
          <w:t>HRC General Comment No. 31</w:t>
        </w:r>
      </w:hyperlink>
      <w:r w:rsidR="00005B65" w:rsidRPr="00BE6174">
        <w:rPr>
          <w:rFonts w:cstheme="minorHAnsi"/>
          <w:color w:val="000000" w:themeColor="text1"/>
          <w:sz w:val="24"/>
          <w:szCs w:val="24"/>
          <w:lang w:val="en-US"/>
        </w:rPr>
        <w:t xml:space="preserve"> (2004)  </w:t>
      </w:r>
    </w:p>
    <w:p w:rsidR="00005B65" w:rsidRPr="00BE6174" w:rsidRDefault="00005B65" w:rsidP="00005B65">
      <w:pPr>
        <w:snapToGrid w:val="0"/>
        <w:spacing w:after="0" w:line="240" w:lineRule="auto"/>
        <w:rPr>
          <w:rFonts w:cstheme="minorHAnsi"/>
          <w:color w:val="000000" w:themeColor="text1"/>
          <w:sz w:val="24"/>
          <w:szCs w:val="24"/>
          <w:lang w:val="en-US"/>
        </w:rPr>
      </w:pPr>
    </w:p>
    <w:p w:rsidR="00005B65" w:rsidRPr="00BE6174" w:rsidRDefault="00005B65" w:rsidP="00005B65">
      <w:pPr>
        <w:pStyle w:val="ListParagraph"/>
        <w:snapToGrid w:val="0"/>
        <w:spacing w:after="0" w:line="240" w:lineRule="auto"/>
        <w:ind w:left="0"/>
        <w:contextualSpacing w:val="0"/>
        <w:rPr>
          <w:rFonts w:cstheme="minorHAnsi"/>
          <w:b/>
          <w:color w:val="000000" w:themeColor="text1"/>
          <w:sz w:val="24"/>
          <w:szCs w:val="24"/>
          <w:lang w:val="en-US"/>
        </w:rPr>
      </w:pPr>
      <w:r w:rsidRPr="00BE6174">
        <w:rPr>
          <w:rFonts w:cstheme="minorHAnsi"/>
          <w:b/>
          <w:color w:val="000000" w:themeColor="text1"/>
          <w:sz w:val="24"/>
          <w:szCs w:val="24"/>
          <w:lang w:val="en-US"/>
        </w:rPr>
        <w:t>Further Reading:</w:t>
      </w:r>
    </w:p>
    <w:p w:rsidR="00005B65" w:rsidRPr="00BE6174" w:rsidRDefault="00005B65" w:rsidP="00005B65">
      <w:pPr>
        <w:pStyle w:val="ListParagraph"/>
        <w:numPr>
          <w:ilvl w:val="0"/>
          <w:numId w:val="17"/>
        </w:numPr>
        <w:snapToGrid w:val="0"/>
        <w:spacing w:after="0" w:line="240" w:lineRule="auto"/>
        <w:contextualSpacing w:val="0"/>
        <w:rPr>
          <w:rFonts w:cstheme="minorHAnsi"/>
          <w:color w:val="000000" w:themeColor="text1"/>
          <w:sz w:val="24"/>
          <w:szCs w:val="24"/>
          <w:lang w:val="en-US"/>
        </w:rPr>
      </w:pPr>
      <w:r w:rsidRPr="00BE6174">
        <w:rPr>
          <w:rFonts w:cstheme="minorHAnsi"/>
          <w:iCs/>
          <w:color w:val="000000" w:themeColor="text1"/>
          <w:sz w:val="24"/>
          <w:szCs w:val="24"/>
          <w:lang w:val="en-US"/>
        </w:rPr>
        <w:t>Rachael Lorna Johnstone, “Feminist Influences on the United Nations Human Rights Treaty Bodies,”</w:t>
      </w:r>
      <w:r w:rsidRPr="00BE6174">
        <w:rPr>
          <w:rFonts w:cstheme="minorHAnsi"/>
          <w:i/>
          <w:color w:val="000000" w:themeColor="text1"/>
          <w:sz w:val="24"/>
          <w:szCs w:val="24"/>
          <w:lang w:val="en-US"/>
        </w:rPr>
        <w:t xml:space="preserve"> </w:t>
      </w:r>
      <w:r w:rsidRPr="00BE6174">
        <w:rPr>
          <w:rFonts w:cstheme="minorHAnsi"/>
          <w:iCs/>
          <w:color w:val="000000" w:themeColor="text1"/>
          <w:sz w:val="24"/>
          <w:szCs w:val="24"/>
          <w:lang w:val="en-US"/>
        </w:rPr>
        <w:t xml:space="preserve">28(1) </w:t>
      </w:r>
      <w:r w:rsidRPr="00BE6174">
        <w:rPr>
          <w:rFonts w:cstheme="minorHAnsi"/>
          <w:i/>
          <w:iCs/>
          <w:color w:val="000000" w:themeColor="text1"/>
          <w:sz w:val="24"/>
          <w:szCs w:val="24"/>
          <w:lang w:val="en-US"/>
        </w:rPr>
        <w:t>Human Rights Quarterly</w:t>
      </w:r>
      <w:r w:rsidRPr="00BE6174">
        <w:rPr>
          <w:rFonts w:cstheme="minorHAnsi"/>
          <w:color w:val="000000" w:themeColor="text1"/>
          <w:sz w:val="24"/>
          <w:szCs w:val="24"/>
          <w:lang w:val="en-US"/>
        </w:rPr>
        <w:t>, 148-185 [2006] (distributed by the instructor)</w:t>
      </w:r>
    </w:p>
    <w:p w:rsidR="00005B65" w:rsidRPr="00BE6174" w:rsidRDefault="00005B65" w:rsidP="00005B65">
      <w:pPr>
        <w:pStyle w:val="ListParagraph"/>
        <w:widowControl w:val="0"/>
        <w:numPr>
          <w:ilvl w:val="0"/>
          <w:numId w:val="17"/>
        </w:numPr>
        <w:snapToGrid w:val="0"/>
        <w:spacing w:after="0" w:line="240" w:lineRule="auto"/>
        <w:ind w:left="714" w:hanging="357"/>
        <w:contextualSpacing w:val="0"/>
        <w:rPr>
          <w:rFonts w:cstheme="minorHAnsi"/>
          <w:color w:val="000000" w:themeColor="text1"/>
          <w:sz w:val="24"/>
          <w:szCs w:val="24"/>
          <w:lang w:val="en-US"/>
        </w:rPr>
      </w:pPr>
      <w:r w:rsidRPr="00BE6174">
        <w:rPr>
          <w:rFonts w:cstheme="minorHAnsi"/>
          <w:color w:val="000000" w:themeColor="text1"/>
          <w:sz w:val="24"/>
          <w:szCs w:val="24"/>
          <w:lang w:val="en-US"/>
        </w:rPr>
        <w:t xml:space="preserve">Rachael Lorna Johnstone, “When Private and Public Meet: Three CEDAW Committee Views on Intra-Familial Violence” in </w:t>
      </w:r>
      <w:r w:rsidRPr="00BE6174">
        <w:rPr>
          <w:rFonts w:cstheme="minorHAnsi"/>
          <w:i/>
          <w:color w:val="000000" w:themeColor="text1"/>
          <w:sz w:val="24"/>
          <w:szCs w:val="24"/>
          <w:lang w:val="en-US"/>
        </w:rPr>
        <w:t xml:space="preserve">Gender Issues and International Legal Standards: Contemporary Perspectives, </w:t>
      </w:r>
      <w:r w:rsidRPr="00BE6174">
        <w:rPr>
          <w:rFonts w:cstheme="minorHAnsi"/>
          <w:color w:val="000000" w:themeColor="text1"/>
          <w:sz w:val="24"/>
          <w:szCs w:val="24"/>
          <w:lang w:val="en-US"/>
        </w:rPr>
        <w:t>Proceedings of Selected Topics in Public International Law Course 2009, University of Catania,</w:t>
      </w:r>
      <w:r w:rsidRPr="00BE6174">
        <w:rPr>
          <w:rFonts w:cstheme="minorHAnsi"/>
          <w:i/>
          <w:color w:val="000000" w:themeColor="text1"/>
          <w:sz w:val="24"/>
          <w:szCs w:val="24"/>
          <w:lang w:val="en-US"/>
        </w:rPr>
        <w:t xml:space="preserve"> </w:t>
      </w:r>
      <w:r w:rsidRPr="00BE6174">
        <w:rPr>
          <w:rFonts w:cstheme="minorHAnsi"/>
          <w:color w:val="000000" w:themeColor="text1"/>
          <w:sz w:val="24"/>
          <w:szCs w:val="24"/>
          <w:lang w:val="en-US"/>
        </w:rPr>
        <w:t>Adriana Di Stefano, ed., 47-68 [2010] (distributed by the instructor)</w:t>
      </w:r>
    </w:p>
    <w:p w:rsidR="00005B65" w:rsidRPr="00BE6174" w:rsidRDefault="00B75DEA" w:rsidP="00005B65">
      <w:pPr>
        <w:pStyle w:val="ListParagraph"/>
        <w:numPr>
          <w:ilvl w:val="0"/>
          <w:numId w:val="17"/>
        </w:numPr>
        <w:snapToGrid w:val="0"/>
        <w:spacing w:after="0" w:line="240" w:lineRule="auto"/>
        <w:rPr>
          <w:rFonts w:cstheme="minorHAnsi"/>
          <w:color w:val="000000" w:themeColor="text1"/>
          <w:sz w:val="24"/>
          <w:szCs w:val="24"/>
          <w:lang w:val="en-US"/>
        </w:rPr>
      </w:pPr>
      <w:hyperlink r:id="rId31" w:history="1">
        <w:r w:rsidR="00005B65" w:rsidRPr="00BE6174">
          <w:rPr>
            <w:rStyle w:val="Hyperlink"/>
            <w:rFonts w:cstheme="minorHAnsi"/>
            <w:i/>
            <w:sz w:val="24"/>
            <w:szCs w:val="24"/>
            <w:lang w:val="en-US"/>
          </w:rPr>
          <w:t>Questions Relating to the Obligation to Prosecute or Extradite</w:t>
        </w:r>
      </w:hyperlink>
      <w:r w:rsidR="00005B65" w:rsidRPr="00BE6174">
        <w:rPr>
          <w:rFonts w:cstheme="minorHAnsi"/>
          <w:i/>
          <w:sz w:val="24"/>
          <w:szCs w:val="24"/>
          <w:lang w:val="en-US"/>
        </w:rPr>
        <w:t xml:space="preserve"> (Belgium v Senegal) (Merits) </w:t>
      </w:r>
      <w:r w:rsidR="00005B65" w:rsidRPr="00BE6174">
        <w:rPr>
          <w:rFonts w:cstheme="minorHAnsi"/>
          <w:sz w:val="24"/>
          <w:szCs w:val="24"/>
          <w:lang w:val="en-US"/>
        </w:rPr>
        <w:t>July 20, 2012.</w:t>
      </w:r>
    </w:p>
    <w:p w:rsidR="00005B65" w:rsidRPr="00BE6174" w:rsidRDefault="00B75DEA" w:rsidP="00005B65">
      <w:pPr>
        <w:pStyle w:val="ListParagraph"/>
        <w:widowControl w:val="0"/>
        <w:numPr>
          <w:ilvl w:val="0"/>
          <w:numId w:val="17"/>
        </w:numPr>
        <w:snapToGrid w:val="0"/>
        <w:spacing w:after="0" w:line="240" w:lineRule="auto"/>
        <w:ind w:left="714" w:hanging="357"/>
        <w:contextualSpacing w:val="0"/>
        <w:rPr>
          <w:rFonts w:cstheme="minorHAnsi"/>
          <w:color w:val="000000" w:themeColor="text1"/>
          <w:sz w:val="24"/>
          <w:szCs w:val="24"/>
          <w:lang w:val="en-US"/>
        </w:rPr>
      </w:pPr>
      <w:hyperlink r:id="rId32" w:history="1">
        <w:r w:rsidR="00005B65" w:rsidRPr="00BE6174">
          <w:rPr>
            <w:rStyle w:val="Hyperlink"/>
            <w:rFonts w:cstheme="minorHAnsi"/>
            <w:sz w:val="24"/>
            <w:szCs w:val="24"/>
            <w:lang w:val="en-US"/>
          </w:rPr>
          <w:t xml:space="preserve">Case of the "Street Children " </w:t>
        </w:r>
        <w:r w:rsidR="00005B65" w:rsidRPr="00BE6174">
          <w:rPr>
            <w:rStyle w:val="Hyperlink"/>
            <w:rFonts w:cstheme="minorHAnsi"/>
            <w:i/>
            <w:sz w:val="24"/>
            <w:szCs w:val="24"/>
            <w:lang w:val="en-US"/>
          </w:rPr>
          <w:t>(</w:t>
        </w:r>
        <w:proofErr w:type="spellStart"/>
        <w:r w:rsidR="00005B65" w:rsidRPr="00BE6174">
          <w:rPr>
            <w:rStyle w:val="Hyperlink"/>
            <w:rFonts w:cstheme="minorHAnsi"/>
            <w:i/>
            <w:sz w:val="24"/>
            <w:szCs w:val="24"/>
            <w:lang w:val="en-US"/>
          </w:rPr>
          <w:t>Villagran</w:t>
        </w:r>
        <w:proofErr w:type="spellEnd"/>
        <w:r w:rsidR="00005B65" w:rsidRPr="00BE6174">
          <w:rPr>
            <w:rStyle w:val="Hyperlink"/>
            <w:rFonts w:cstheme="minorHAnsi"/>
            <w:i/>
            <w:sz w:val="24"/>
            <w:szCs w:val="24"/>
            <w:lang w:val="en-US"/>
          </w:rPr>
          <w:t>-Morales et al.) v. Guatemala</w:t>
        </w:r>
      </w:hyperlink>
      <w:r w:rsidR="00005B65" w:rsidRPr="00BE6174">
        <w:rPr>
          <w:rFonts w:cstheme="minorHAnsi"/>
          <w:color w:val="000000" w:themeColor="text1"/>
          <w:sz w:val="24"/>
          <w:szCs w:val="24"/>
          <w:lang w:val="en-US"/>
        </w:rPr>
        <w:t>, Inter-American Court of Human Rights, Judgment of November 19, 1999 (</w:t>
      </w:r>
      <w:proofErr w:type="spellStart"/>
      <w:r w:rsidR="00005B65" w:rsidRPr="00BE6174">
        <w:rPr>
          <w:rFonts w:cstheme="minorHAnsi"/>
          <w:color w:val="000000" w:themeColor="text1"/>
          <w:sz w:val="24"/>
          <w:szCs w:val="24"/>
          <w:lang w:val="en-US"/>
        </w:rPr>
        <w:t>moodle</w:t>
      </w:r>
      <w:proofErr w:type="spellEnd"/>
      <w:r w:rsidR="00005B65" w:rsidRPr="00BE6174">
        <w:rPr>
          <w:rFonts w:cstheme="minorHAnsi"/>
          <w:color w:val="000000" w:themeColor="text1"/>
          <w:sz w:val="24"/>
          <w:szCs w:val="24"/>
          <w:lang w:val="en-US"/>
        </w:rPr>
        <w:t>)</w:t>
      </w:r>
    </w:p>
    <w:p w:rsidR="00005B65" w:rsidRPr="00BE6174" w:rsidRDefault="00005B65" w:rsidP="00005B65">
      <w:pPr>
        <w:spacing w:after="0" w:line="240" w:lineRule="auto"/>
        <w:rPr>
          <w:rFonts w:cstheme="minorHAnsi"/>
          <w:b/>
          <w:sz w:val="24"/>
          <w:szCs w:val="24"/>
          <w:lang w:val="en-US"/>
        </w:rPr>
      </w:pPr>
    </w:p>
    <w:p w:rsidR="00005B65" w:rsidRPr="00BE6174" w:rsidRDefault="00005B65" w:rsidP="00005B65">
      <w:pPr>
        <w:spacing w:after="0" w:line="240" w:lineRule="auto"/>
        <w:rPr>
          <w:rFonts w:cstheme="minorHAnsi"/>
          <w:b/>
          <w:sz w:val="24"/>
          <w:szCs w:val="24"/>
          <w:lang w:val="en-US"/>
        </w:rPr>
      </w:pPr>
    </w:p>
    <w:p w:rsidR="00005B65" w:rsidRPr="00BE6174" w:rsidRDefault="00005B65" w:rsidP="00005B65">
      <w:pPr>
        <w:spacing w:after="0" w:line="240" w:lineRule="auto"/>
        <w:rPr>
          <w:rFonts w:cstheme="minorHAnsi"/>
          <w:b/>
          <w:color w:val="FF0000"/>
          <w:sz w:val="24"/>
          <w:szCs w:val="24"/>
          <w:lang w:val="en-US"/>
        </w:rPr>
      </w:pPr>
      <w:r w:rsidRPr="00BE6174">
        <w:rPr>
          <w:rFonts w:cstheme="minorHAnsi"/>
          <w:b/>
          <w:color w:val="FF0000"/>
          <w:sz w:val="24"/>
          <w:szCs w:val="24"/>
          <w:lang w:val="en-US"/>
        </w:rPr>
        <w:t>9th November: Treaty Monitoring and Enforcement</w:t>
      </w:r>
    </w:p>
    <w:p w:rsidR="00005B65" w:rsidRPr="00BE6174" w:rsidRDefault="00005B65" w:rsidP="00005B65">
      <w:pPr>
        <w:pStyle w:val="ListParagraph"/>
        <w:numPr>
          <w:ilvl w:val="0"/>
          <w:numId w:val="8"/>
        </w:numPr>
        <w:snapToGrid w:val="0"/>
        <w:spacing w:after="0" w:line="240" w:lineRule="auto"/>
        <w:ind w:left="227" w:hanging="140"/>
        <w:contextualSpacing w:val="0"/>
        <w:rPr>
          <w:rFonts w:cstheme="minorHAnsi"/>
          <w:color w:val="000000" w:themeColor="text1"/>
          <w:sz w:val="24"/>
          <w:szCs w:val="24"/>
          <w:lang w:val="en-US"/>
        </w:rPr>
      </w:pPr>
      <w:r w:rsidRPr="00BE6174">
        <w:rPr>
          <w:rFonts w:cstheme="minorHAnsi"/>
          <w:color w:val="000000" w:themeColor="text1"/>
          <w:sz w:val="24"/>
          <w:szCs w:val="24"/>
          <w:lang w:val="en-US"/>
        </w:rPr>
        <w:t>H.R. Committees</w:t>
      </w:r>
    </w:p>
    <w:p w:rsidR="00005B65" w:rsidRPr="00BE6174" w:rsidRDefault="00005B65" w:rsidP="00005B65">
      <w:pPr>
        <w:pStyle w:val="ListParagraph"/>
        <w:numPr>
          <w:ilvl w:val="0"/>
          <w:numId w:val="8"/>
        </w:numPr>
        <w:snapToGrid w:val="0"/>
        <w:spacing w:after="0" w:line="240" w:lineRule="auto"/>
        <w:ind w:left="227" w:hanging="140"/>
        <w:contextualSpacing w:val="0"/>
        <w:rPr>
          <w:rFonts w:cstheme="minorHAnsi"/>
          <w:color w:val="000000" w:themeColor="text1"/>
          <w:sz w:val="24"/>
          <w:szCs w:val="24"/>
          <w:lang w:val="en-US"/>
        </w:rPr>
      </w:pPr>
      <w:r w:rsidRPr="00BE6174">
        <w:rPr>
          <w:rFonts w:cstheme="minorHAnsi"/>
          <w:color w:val="000000" w:themeColor="text1"/>
          <w:sz w:val="24"/>
          <w:szCs w:val="24"/>
          <w:lang w:val="en-US"/>
        </w:rPr>
        <w:t>Functions</w:t>
      </w:r>
    </w:p>
    <w:p w:rsidR="00005B65" w:rsidRPr="00BE6174" w:rsidRDefault="00005B65" w:rsidP="00005B65">
      <w:pPr>
        <w:pStyle w:val="ListParagraph"/>
        <w:numPr>
          <w:ilvl w:val="0"/>
          <w:numId w:val="8"/>
        </w:numPr>
        <w:snapToGrid w:val="0"/>
        <w:spacing w:after="0" w:line="240" w:lineRule="auto"/>
        <w:ind w:left="227" w:hanging="140"/>
        <w:contextualSpacing w:val="0"/>
        <w:rPr>
          <w:rFonts w:cstheme="minorHAnsi"/>
          <w:color w:val="000000" w:themeColor="text1"/>
          <w:sz w:val="24"/>
          <w:szCs w:val="24"/>
          <w:lang w:val="en-US"/>
        </w:rPr>
      </w:pPr>
      <w:r w:rsidRPr="00BE6174">
        <w:rPr>
          <w:rFonts w:cstheme="minorHAnsi"/>
          <w:color w:val="000000" w:themeColor="text1"/>
          <w:sz w:val="24"/>
          <w:szCs w:val="24"/>
          <w:lang w:val="en-US"/>
        </w:rPr>
        <w:t>Processes</w:t>
      </w:r>
    </w:p>
    <w:p w:rsidR="00005B65" w:rsidRPr="00BE6174" w:rsidRDefault="00005B65" w:rsidP="00005B65">
      <w:pPr>
        <w:pStyle w:val="ListParagraph"/>
        <w:numPr>
          <w:ilvl w:val="0"/>
          <w:numId w:val="8"/>
        </w:numPr>
        <w:snapToGrid w:val="0"/>
        <w:spacing w:after="0" w:line="240" w:lineRule="auto"/>
        <w:ind w:left="227" w:hanging="140"/>
        <w:contextualSpacing w:val="0"/>
        <w:rPr>
          <w:rFonts w:cstheme="minorHAnsi"/>
          <w:color w:val="000000" w:themeColor="text1"/>
          <w:sz w:val="24"/>
          <w:szCs w:val="24"/>
          <w:lang w:val="en-US"/>
        </w:rPr>
      </w:pPr>
      <w:r w:rsidRPr="00BE6174">
        <w:rPr>
          <w:rFonts w:cstheme="minorHAnsi"/>
          <w:color w:val="000000" w:themeColor="text1"/>
          <w:sz w:val="24"/>
          <w:szCs w:val="24"/>
          <w:lang w:val="en-US"/>
        </w:rPr>
        <w:t>Problems</w:t>
      </w:r>
    </w:p>
    <w:p w:rsidR="00005B65" w:rsidRPr="00BE6174" w:rsidRDefault="00005B65" w:rsidP="00005B65">
      <w:pPr>
        <w:pStyle w:val="ListParagraph"/>
        <w:numPr>
          <w:ilvl w:val="0"/>
          <w:numId w:val="8"/>
        </w:numPr>
        <w:snapToGrid w:val="0"/>
        <w:spacing w:after="0" w:line="240" w:lineRule="auto"/>
        <w:ind w:left="227" w:hanging="140"/>
        <w:contextualSpacing w:val="0"/>
        <w:rPr>
          <w:rFonts w:cstheme="minorHAnsi"/>
          <w:color w:val="000000" w:themeColor="text1"/>
          <w:sz w:val="24"/>
          <w:szCs w:val="24"/>
          <w:lang w:val="en-US"/>
        </w:rPr>
      </w:pPr>
      <w:r w:rsidRPr="00BE6174">
        <w:rPr>
          <w:rFonts w:cstheme="minorHAnsi"/>
          <w:color w:val="000000" w:themeColor="text1"/>
          <w:sz w:val="24"/>
          <w:szCs w:val="24"/>
          <w:lang w:val="en-US"/>
        </w:rPr>
        <w:t xml:space="preserve">Reform </w:t>
      </w:r>
    </w:p>
    <w:p w:rsidR="00005B65" w:rsidRPr="00BE6174" w:rsidRDefault="00005B65" w:rsidP="00005B65">
      <w:pPr>
        <w:snapToGrid w:val="0"/>
        <w:spacing w:after="0" w:line="240" w:lineRule="auto"/>
        <w:rPr>
          <w:rFonts w:cstheme="minorHAnsi"/>
          <w:b/>
          <w:color w:val="000000" w:themeColor="text1"/>
          <w:sz w:val="24"/>
          <w:szCs w:val="24"/>
          <w:lang w:val="en-US"/>
        </w:rPr>
      </w:pPr>
    </w:p>
    <w:p w:rsidR="00005B65" w:rsidRPr="00BE6174" w:rsidRDefault="00005B65" w:rsidP="00005B65">
      <w:pPr>
        <w:snapToGrid w:val="0"/>
        <w:spacing w:after="0" w:line="240" w:lineRule="auto"/>
        <w:rPr>
          <w:rFonts w:cstheme="minorHAnsi"/>
          <w:b/>
          <w:color w:val="000000" w:themeColor="text1"/>
          <w:sz w:val="24"/>
          <w:szCs w:val="24"/>
          <w:lang w:val="en-US"/>
        </w:rPr>
      </w:pPr>
      <w:r w:rsidRPr="00BE6174">
        <w:rPr>
          <w:rFonts w:cstheme="minorHAnsi"/>
          <w:b/>
          <w:color w:val="000000" w:themeColor="text1"/>
          <w:sz w:val="24"/>
          <w:szCs w:val="24"/>
          <w:lang w:val="en-US"/>
        </w:rPr>
        <w:t>Essential Reading:</w:t>
      </w:r>
    </w:p>
    <w:p w:rsidR="00005B65" w:rsidRPr="00BE6174" w:rsidRDefault="00005B65" w:rsidP="00005B65">
      <w:pPr>
        <w:numPr>
          <w:ilvl w:val="0"/>
          <w:numId w:val="9"/>
        </w:numPr>
        <w:snapToGrid w:val="0"/>
        <w:spacing w:after="0" w:line="240" w:lineRule="auto"/>
        <w:rPr>
          <w:rFonts w:cstheme="minorHAnsi"/>
          <w:color w:val="000000"/>
          <w:sz w:val="24"/>
          <w:szCs w:val="24"/>
          <w:lang w:val="en-US"/>
        </w:rPr>
      </w:pPr>
      <w:r w:rsidRPr="00BE6174">
        <w:rPr>
          <w:rFonts w:cstheme="minorHAnsi"/>
          <w:color w:val="000000"/>
          <w:sz w:val="24"/>
          <w:szCs w:val="24"/>
          <w:lang w:val="en-US"/>
        </w:rPr>
        <w:t xml:space="preserve">Smith, Chapters 10 and 23. </w:t>
      </w:r>
    </w:p>
    <w:p w:rsidR="00005B65" w:rsidRPr="00BE6174" w:rsidRDefault="00005B65" w:rsidP="00005B65">
      <w:pPr>
        <w:numPr>
          <w:ilvl w:val="0"/>
          <w:numId w:val="9"/>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ICCPR OP1</w:t>
      </w:r>
    </w:p>
    <w:p w:rsidR="00005B65" w:rsidRPr="00BE6174" w:rsidRDefault="00005B65" w:rsidP="00005B65">
      <w:pPr>
        <w:numPr>
          <w:ilvl w:val="0"/>
          <w:numId w:val="9"/>
        </w:numPr>
        <w:snapToGrid w:val="0"/>
        <w:spacing w:after="0" w:line="240" w:lineRule="auto"/>
        <w:rPr>
          <w:rFonts w:cstheme="minorHAnsi"/>
          <w:color w:val="000000" w:themeColor="text1"/>
          <w:sz w:val="24"/>
          <w:szCs w:val="24"/>
          <w:lang w:val="en-US"/>
        </w:rPr>
      </w:pPr>
      <w:r w:rsidRPr="00BE6174">
        <w:rPr>
          <w:rFonts w:cstheme="minorHAnsi"/>
          <w:color w:val="000000" w:themeColor="text1"/>
          <w:sz w:val="24"/>
          <w:szCs w:val="24"/>
          <w:lang w:val="en-US"/>
        </w:rPr>
        <w:t xml:space="preserve">OP-ICESCR  </w:t>
      </w:r>
    </w:p>
    <w:p w:rsidR="002A6F72" w:rsidRDefault="00B75DEA" w:rsidP="00005B65">
      <w:pPr>
        <w:widowControl w:val="0"/>
        <w:numPr>
          <w:ilvl w:val="0"/>
          <w:numId w:val="9"/>
        </w:numPr>
        <w:snapToGrid w:val="0"/>
        <w:spacing w:after="0" w:line="240" w:lineRule="auto"/>
        <w:rPr>
          <w:rFonts w:cstheme="minorHAnsi"/>
          <w:color w:val="000000"/>
          <w:sz w:val="24"/>
          <w:szCs w:val="24"/>
          <w:lang w:val="en-US"/>
        </w:rPr>
      </w:pPr>
      <w:hyperlink r:id="rId33" w:history="1">
        <w:r w:rsidR="002A6F72" w:rsidRPr="002A6F72">
          <w:rPr>
            <w:rStyle w:val="Hyperlink"/>
            <w:rFonts w:cstheme="minorHAnsi"/>
            <w:sz w:val="24"/>
            <w:szCs w:val="24"/>
            <w:lang w:val="en-US"/>
          </w:rPr>
          <w:t>UNGA Status of the human rights treaty body system, Report of the Secretary-General, 2016</w:t>
        </w:r>
      </w:hyperlink>
    </w:p>
    <w:p w:rsidR="00A22886" w:rsidRPr="00A0181D" w:rsidRDefault="00005B65" w:rsidP="00516090">
      <w:pPr>
        <w:widowControl w:val="0"/>
        <w:numPr>
          <w:ilvl w:val="0"/>
          <w:numId w:val="9"/>
        </w:numPr>
        <w:snapToGrid w:val="0"/>
        <w:spacing w:after="0" w:line="240" w:lineRule="auto"/>
        <w:rPr>
          <w:rFonts w:cstheme="minorHAnsi"/>
          <w:sz w:val="24"/>
          <w:szCs w:val="24"/>
          <w:lang w:val="en-US"/>
        </w:rPr>
      </w:pPr>
      <w:r w:rsidRPr="00A0181D">
        <w:rPr>
          <w:rFonts w:cstheme="minorHAnsi"/>
          <w:color w:val="000000"/>
          <w:sz w:val="24"/>
          <w:szCs w:val="24"/>
          <w:lang w:val="en-US"/>
        </w:rPr>
        <w:t xml:space="preserve">Rachael Lorna Johnstone: “Streamlining the Constructive Dialogue: Efficiency from States’ Perspectives” in New Challenges for the UN Human Rights Machinery, M </w:t>
      </w:r>
      <w:proofErr w:type="spellStart"/>
      <w:r w:rsidRPr="00A0181D">
        <w:rPr>
          <w:rFonts w:cstheme="minorHAnsi"/>
          <w:color w:val="000000"/>
          <w:sz w:val="24"/>
          <w:szCs w:val="24"/>
          <w:lang w:val="en-US"/>
        </w:rPr>
        <w:t>Cherif</w:t>
      </w:r>
      <w:proofErr w:type="spellEnd"/>
      <w:r w:rsidRPr="00A0181D">
        <w:rPr>
          <w:rFonts w:cstheme="minorHAnsi"/>
          <w:color w:val="000000"/>
          <w:sz w:val="24"/>
          <w:szCs w:val="24"/>
          <w:lang w:val="en-US"/>
        </w:rPr>
        <w:t xml:space="preserve"> </w:t>
      </w:r>
      <w:proofErr w:type="spellStart"/>
      <w:r w:rsidRPr="00A0181D">
        <w:rPr>
          <w:rFonts w:cstheme="minorHAnsi"/>
          <w:color w:val="000000"/>
          <w:sz w:val="24"/>
          <w:szCs w:val="24"/>
          <w:lang w:val="en-US"/>
        </w:rPr>
        <w:t>Bassiouni</w:t>
      </w:r>
      <w:proofErr w:type="spellEnd"/>
      <w:r w:rsidRPr="00A0181D">
        <w:rPr>
          <w:rFonts w:cstheme="minorHAnsi"/>
          <w:color w:val="000000"/>
          <w:sz w:val="24"/>
          <w:szCs w:val="24"/>
          <w:lang w:val="en-US"/>
        </w:rPr>
        <w:t xml:space="preserve"> &amp; </w:t>
      </w:r>
      <w:proofErr w:type="spellStart"/>
      <w:r w:rsidRPr="00A0181D">
        <w:rPr>
          <w:rFonts w:cstheme="minorHAnsi"/>
          <w:color w:val="000000"/>
          <w:sz w:val="24"/>
          <w:szCs w:val="24"/>
          <w:lang w:val="en-US"/>
        </w:rPr>
        <w:t>Willam</w:t>
      </w:r>
      <w:proofErr w:type="spellEnd"/>
      <w:r w:rsidRPr="00A0181D">
        <w:rPr>
          <w:rFonts w:cstheme="minorHAnsi"/>
          <w:color w:val="000000"/>
          <w:sz w:val="24"/>
          <w:szCs w:val="24"/>
          <w:lang w:val="en-US"/>
        </w:rPr>
        <w:t xml:space="preserve"> A Schabas, eds., </w:t>
      </w:r>
      <w:proofErr w:type="spellStart"/>
      <w:r w:rsidRPr="00A0181D">
        <w:rPr>
          <w:rFonts w:cstheme="minorHAnsi"/>
          <w:color w:val="000000"/>
          <w:sz w:val="24"/>
          <w:szCs w:val="24"/>
          <w:lang w:val="en-US"/>
        </w:rPr>
        <w:t>Intersentia</w:t>
      </w:r>
      <w:proofErr w:type="spellEnd"/>
      <w:r w:rsidRPr="00A0181D">
        <w:rPr>
          <w:rFonts w:cstheme="minorHAnsi"/>
          <w:color w:val="000000"/>
          <w:sz w:val="24"/>
          <w:szCs w:val="24"/>
          <w:lang w:val="en-US"/>
        </w:rPr>
        <w:t xml:space="preserve">, 59-93 [2011] (distributed by the instructor) </w:t>
      </w:r>
    </w:p>
    <w:p w:rsidR="00A22886" w:rsidRPr="00BE6174" w:rsidRDefault="00A22886" w:rsidP="00EA66B0">
      <w:pPr>
        <w:spacing w:after="0" w:line="240" w:lineRule="auto"/>
        <w:rPr>
          <w:rFonts w:cstheme="minorHAnsi"/>
          <w:sz w:val="24"/>
          <w:szCs w:val="24"/>
          <w:lang w:val="en-US"/>
        </w:rPr>
      </w:pPr>
    </w:p>
    <w:sectPr w:rsidR="00A22886" w:rsidRPr="00BE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69C"/>
    <w:multiLevelType w:val="hybridMultilevel"/>
    <w:tmpl w:val="3BD00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A53E0"/>
    <w:multiLevelType w:val="hybridMultilevel"/>
    <w:tmpl w:val="0C8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731"/>
    <w:multiLevelType w:val="hybridMultilevel"/>
    <w:tmpl w:val="D6AC16A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BF0D2F"/>
    <w:multiLevelType w:val="hybridMultilevel"/>
    <w:tmpl w:val="C1F2DB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D307AD5"/>
    <w:multiLevelType w:val="hybridMultilevel"/>
    <w:tmpl w:val="52FCF59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DC83772"/>
    <w:multiLevelType w:val="hybridMultilevel"/>
    <w:tmpl w:val="F6780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232DC"/>
    <w:multiLevelType w:val="hybridMultilevel"/>
    <w:tmpl w:val="B4E43B0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F516375"/>
    <w:multiLevelType w:val="hybridMultilevel"/>
    <w:tmpl w:val="AAA618A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F5A4B7B"/>
    <w:multiLevelType w:val="hybridMultilevel"/>
    <w:tmpl w:val="07ACB69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3701488"/>
    <w:multiLevelType w:val="hybridMultilevel"/>
    <w:tmpl w:val="AEF4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B5072"/>
    <w:multiLevelType w:val="hybridMultilevel"/>
    <w:tmpl w:val="BA2EEB8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5A9448A"/>
    <w:multiLevelType w:val="hybridMultilevel"/>
    <w:tmpl w:val="5554E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40FAF"/>
    <w:multiLevelType w:val="hybridMultilevel"/>
    <w:tmpl w:val="CE00637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28779A2"/>
    <w:multiLevelType w:val="hybridMultilevel"/>
    <w:tmpl w:val="2760D8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2F45EC9"/>
    <w:multiLevelType w:val="hybridMultilevel"/>
    <w:tmpl w:val="21AA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D623B"/>
    <w:multiLevelType w:val="hybridMultilevel"/>
    <w:tmpl w:val="5B5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C1278"/>
    <w:multiLevelType w:val="hybridMultilevel"/>
    <w:tmpl w:val="979CCB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D1C7C7B"/>
    <w:multiLevelType w:val="hybridMultilevel"/>
    <w:tmpl w:val="B58C2F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6F54AC8"/>
    <w:multiLevelType w:val="hybridMultilevel"/>
    <w:tmpl w:val="2F96174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5E8C6DBA"/>
    <w:multiLevelType w:val="hybridMultilevel"/>
    <w:tmpl w:val="B45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D3BCE"/>
    <w:multiLevelType w:val="hybridMultilevel"/>
    <w:tmpl w:val="FA64935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7"/>
  </w:num>
  <w:num w:numId="5">
    <w:abstractNumId w:val="11"/>
  </w:num>
  <w:num w:numId="6">
    <w:abstractNumId w:val="16"/>
  </w:num>
  <w:num w:numId="7">
    <w:abstractNumId w:val="20"/>
  </w:num>
  <w:num w:numId="8">
    <w:abstractNumId w:val="19"/>
  </w:num>
  <w:num w:numId="9">
    <w:abstractNumId w:val="10"/>
  </w:num>
  <w:num w:numId="10">
    <w:abstractNumId w:val="8"/>
  </w:num>
  <w:num w:numId="11">
    <w:abstractNumId w:val="14"/>
  </w:num>
  <w:num w:numId="12">
    <w:abstractNumId w:val="0"/>
  </w:num>
  <w:num w:numId="13">
    <w:abstractNumId w:val="5"/>
  </w:num>
  <w:num w:numId="14">
    <w:abstractNumId w:val="6"/>
  </w:num>
  <w:num w:numId="15">
    <w:abstractNumId w:val="1"/>
  </w:num>
  <w:num w:numId="16">
    <w:abstractNumId w:val="2"/>
  </w:num>
  <w:num w:numId="17">
    <w:abstractNumId w:val="18"/>
  </w:num>
  <w:num w:numId="18">
    <w:abstractNumId w:val="13"/>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3B"/>
    <w:rsid w:val="00005B65"/>
    <w:rsid w:val="00081E3B"/>
    <w:rsid w:val="00253648"/>
    <w:rsid w:val="00254E5A"/>
    <w:rsid w:val="002A6F72"/>
    <w:rsid w:val="00387E6C"/>
    <w:rsid w:val="003A02C8"/>
    <w:rsid w:val="00553594"/>
    <w:rsid w:val="005E6467"/>
    <w:rsid w:val="00643AAE"/>
    <w:rsid w:val="008D1892"/>
    <w:rsid w:val="00983824"/>
    <w:rsid w:val="009F479A"/>
    <w:rsid w:val="00A0181D"/>
    <w:rsid w:val="00A22886"/>
    <w:rsid w:val="00A949A5"/>
    <w:rsid w:val="00AE4BC9"/>
    <w:rsid w:val="00B75DEA"/>
    <w:rsid w:val="00BE6174"/>
    <w:rsid w:val="00C95F63"/>
    <w:rsid w:val="00D9288E"/>
    <w:rsid w:val="00DC2DD7"/>
    <w:rsid w:val="00DD0BB8"/>
    <w:rsid w:val="00EA66B0"/>
    <w:rsid w:val="00EB6CDA"/>
    <w:rsid w:val="00FB650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827B"/>
  <w15:docId w15:val="{8B577C20-BFE0-4868-9AB2-C8E9B5EB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6C"/>
    <w:rPr>
      <w:color w:val="0000FF" w:themeColor="hyperlink"/>
      <w:u w:val="single"/>
    </w:rPr>
  </w:style>
  <w:style w:type="paragraph" w:styleId="ListParagraph">
    <w:name w:val="List Paragraph"/>
    <w:basedOn w:val="Normal"/>
    <w:uiPriority w:val="34"/>
    <w:qFormat/>
    <w:rsid w:val="00387E6C"/>
    <w:pPr>
      <w:ind w:left="720"/>
      <w:contextualSpacing/>
    </w:pPr>
  </w:style>
  <w:style w:type="character" w:styleId="FollowedHyperlink">
    <w:name w:val="FollowedHyperlink"/>
    <w:basedOn w:val="DefaultParagraphFont"/>
    <w:uiPriority w:val="99"/>
    <w:semiHidden/>
    <w:unhideWhenUsed/>
    <w:rsid w:val="00A01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IPeoples/Pages/Declaration.aspx" TargetMode="External"/><Relationship Id="rId13" Type="http://schemas.openxmlformats.org/officeDocument/2006/relationships/hyperlink" Target="http://www.worldlii.org/int/other/UNGARsn/1960/59.pdf" TargetMode="External"/><Relationship Id="rId18" Type="http://schemas.openxmlformats.org/officeDocument/2006/relationships/hyperlink" Target="http://www.iwgia.org/iwgia_files_publications_files/0709_INDIGENOUS_PEOPLES_RIGHTS_2.pdf" TargetMode="External"/><Relationship Id="rId26" Type="http://schemas.openxmlformats.org/officeDocument/2006/relationships/hyperlink" Target="http://hrlibrary.umn.edu/gencomm/genrexxiii.htm" TargetMode="External"/><Relationship Id="rId3" Type="http://schemas.openxmlformats.org/officeDocument/2006/relationships/settings" Target="settings.xml"/><Relationship Id="rId21" Type="http://schemas.openxmlformats.org/officeDocument/2006/relationships/hyperlink" Target="http://hrlibrary.umn.edu/gencomm/escgencom20.html" TargetMode="External"/><Relationship Id="rId34" Type="http://schemas.openxmlformats.org/officeDocument/2006/relationships/fontTable" Target="fontTable.xml"/><Relationship Id="rId7" Type="http://schemas.openxmlformats.org/officeDocument/2006/relationships/hyperlink" Target="http://www.ilo.org/dyn/normlex/en/f?p=NORMLEXPUB:12100:0::NO::P12100_ILO_CODE:C169" TargetMode="External"/><Relationship Id="rId12" Type="http://schemas.openxmlformats.org/officeDocument/2006/relationships/hyperlink" Target="http://www.un.org/en/decolonization/declaration.shtml" TargetMode="External"/><Relationship Id="rId17" Type="http://schemas.openxmlformats.org/officeDocument/2006/relationships/hyperlink" Target="http://www.ohchr.org/EN/Issues/IPeoples/Pages/IndigenousPeoplesIndex.aspx" TargetMode="External"/><Relationship Id="rId25" Type="http://schemas.openxmlformats.org/officeDocument/2006/relationships/hyperlink" Target="http://www.iitc.org/program-areas/treaties-standard-setting/the-oas-american-declaration-on-the-rights-of-indigenous-peoples/" TargetMode="External"/><Relationship Id="rId33" Type="http://schemas.openxmlformats.org/officeDocument/2006/relationships/hyperlink" Target="https://www.ohchr.org/Documents/HRBodies/TB/TBS/A-71-118_en.pdf" TargetMode="External"/><Relationship Id="rId2" Type="http://schemas.openxmlformats.org/officeDocument/2006/relationships/styles" Target="styles.xml"/><Relationship Id="rId16" Type="http://schemas.openxmlformats.org/officeDocument/2006/relationships/hyperlink" Target="http://www.ilo.org/indigenous/lang--en/index.htm" TargetMode="External"/><Relationship Id="rId20" Type="http://schemas.openxmlformats.org/officeDocument/2006/relationships/hyperlink" Target="http://hrlibrary.umn.edu/gencomm/hrcom12.htm" TargetMode="External"/><Relationship Id="rId29" Type="http://schemas.openxmlformats.org/officeDocument/2006/relationships/hyperlink" Target="http://www.humanrights.is/en/human-rights-education-project/human-rights-concepts-ideas-and-fora/substantive-human-rights/the-right-to-equality-and-non-discrimination" TargetMode="External"/><Relationship Id="rId1" Type="http://schemas.openxmlformats.org/officeDocument/2006/relationships/numbering" Target="numbering.xml"/><Relationship Id="rId6" Type="http://schemas.openxmlformats.org/officeDocument/2006/relationships/hyperlink" Target="http://www.ohchr.org/EN/ProfessionalInterest/Pages/CoreInstruments.aspx" TargetMode="External"/><Relationship Id="rId11" Type="http://schemas.openxmlformats.org/officeDocument/2006/relationships/hyperlink" Target="http://www.ohchr.org" TargetMode="External"/><Relationship Id="rId24" Type="http://schemas.openxmlformats.org/officeDocument/2006/relationships/hyperlink" Target="http://www.un.org/esa/socdev/unpfii/documents/DRIPS_en.pdf" TargetMode="External"/><Relationship Id="rId32" Type="http://schemas.openxmlformats.org/officeDocument/2006/relationships/hyperlink" Target="http://www.corteidh.or.cr/docs/casos/articulos/seriec_63_ing.pdf" TargetMode="External"/><Relationship Id="rId5" Type="http://schemas.openxmlformats.org/officeDocument/2006/relationships/hyperlink" Target="https://global.oup.com/ukhe/product/textbook-on-international-human-rights-9780198746218?cc=gb&amp;lang=en&amp;" TargetMode="External"/><Relationship Id="rId15" Type="http://schemas.openxmlformats.org/officeDocument/2006/relationships/hyperlink" Target="http://www.un.org/esa/socdev/unpfii/documents/workshop_data_background.doc" TargetMode="External"/><Relationship Id="rId23" Type="http://schemas.openxmlformats.org/officeDocument/2006/relationships/hyperlink" Target="http://www.ilo.org/indigenous/Conventions/no169/lang--en/index.htm" TargetMode="External"/><Relationship Id="rId28" Type="http://schemas.openxmlformats.org/officeDocument/2006/relationships/hyperlink" Target="http://www.inuitcircumpolar.com/inuit-petition-inter-american-commission-on-human-rights-to-oppose-climate-change-caused-by-the-united-states-of-america.html" TargetMode="External"/><Relationship Id="rId10" Type="http://schemas.openxmlformats.org/officeDocument/2006/relationships/hyperlink" Target="http://www.echr.coe.int/Pages/home.aspx?p=caselaw&amp;c=" TargetMode="External"/><Relationship Id="rId19" Type="http://schemas.openxmlformats.org/officeDocument/2006/relationships/hyperlink" Target="http://hrlibrary.umn.edu/gencomm/epcomm3.htm" TargetMode="External"/><Relationship Id="rId31" Type="http://schemas.openxmlformats.org/officeDocument/2006/relationships/hyperlink" Target="http://www.icj-cij.org/docket/index.php?p1=3&amp;p2=3&amp;code=bs&amp;case=144&amp;k=5e&amp;p3=0" TargetMode="External"/><Relationship Id="rId4" Type="http://schemas.openxmlformats.org/officeDocument/2006/relationships/webSettings" Target="webSettings.xml"/><Relationship Id="rId9" Type="http://schemas.openxmlformats.org/officeDocument/2006/relationships/hyperlink" Target="http://ohchr.org/EN/Pages/Home.aspx" TargetMode="External"/><Relationship Id="rId14" Type="http://schemas.openxmlformats.org/officeDocument/2006/relationships/hyperlink" Target="http://www.inuitcircumpolar.com/sovereignty-in-the-arctic.html" TargetMode="External"/><Relationship Id="rId22" Type="http://schemas.openxmlformats.org/officeDocument/2006/relationships/hyperlink" Target="http://conventions.coe.int/Treaty/Commun/QueVoulezVous.asp?NT=005&amp;CM=8&amp;DF=05/10/2015&amp;CL=ENG" TargetMode="External"/><Relationship Id="rId27" Type="http://schemas.openxmlformats.org/officeDocument/2006/relationships/hyperlink" Target="http://hrlibrary.umn.edu/gencomm/escgencom21.html" TargetMode="External"/><Relationship Id="rId30" Type="http://schemas.openxmlformats.org/officeDocument/2006/relationships/hyperlink" Target="https://www1.umn.edu/humanrts/gencomm/hrcom31.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 Lorna Johnstone</cp:lastModifiedBy>
  <cp:revision>8</cp:revision>
  <dcterms:created xsi:type="dcterms:W3CDTF">2018-08-13T14:29:00Z</dcterms:created>
  <dcterms:modified xsi:type="dcterms:W3CDTF">2018-08-15T12:20:00Z</dcterms:modified>
</cp:coreProperties>
</file>